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196B7">
      <w:pPr>
        <w:snapToGrid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十五运会皮划艇（静水）项目器材租赁</w:t>
      </w:r>
      <w:r>
        <w:rPr>
          <w:rFonts w:hint="eastAsia" w:ascii="方正小标宋简体" w:hAnsi="方正小标宋简体" w:eastAsia="方正小标宋简体" w:cs="方正小标宋简体"/>
          <w:color w:val="auto"/>
          <w:sz w:val="44"/>
          <w:szCs w:val="44"/>
          <w:highlight w:val="none"/>
        </w:rPr>
        <w:t>项目</w:t>
      </w:r>
    </w:p>
    <w:p w14:paraId="236155E9">
      <w:pPr>
        <w:snapToGrid w:val="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需求书</w:t>
      </w:r>
      <w:r>
        <w:rPr>
          <w:rFonts w:hint="eastAsia" w:ascii="方正小标宋简体" w:hAnsi="方正小标宋简体" w:eastAsia="方正小标宋简体" w:cs="方正小标宋简体"/>
          <w:color w:val="auto"/>
          <w:sz w:val="44"/>
          <w:szCs w:val="44"/>
          <w:highlight w:val="none"/>
        </w:rPr>
        <w:br w:type="textWrapping"/>
      </w:r>
    </w:p>
    <w:p w14:paraId="6C69C7CA">
      <w:pPr>
        <w:keepNext w:val="0"/>
        <w:keepLines w:val="0"/>
        <w:pageBreakBefore w:val="0"/>
        <w:widowControl w:val="0"/>
        <w:kinsoku/>
        <w:wordWrap/>
        <w:overflowPunct/>
        <w:topLinePunct w:val="0"/>
        <w:autoSpaceDE/>
        <w:autoSpaceDN/>
        <w:bidi w:val="0"/>
        <w:adjustRightInd/>
        <w:ind w:left="0"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一、项目概况</w:t>
      </w:r>
    </w:p>
    <w:p w14:paraId="76EB19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项目名称：</w:t>
      </w:r>
      <w:r>
        <w:rPr>
          <w:rFonts w:hint="eastAsia" w:ascii="仿宋" w:hAnsi="仿宋" w:eastAsia="仿宋" w:cs="仿宋"/>
          <w:sz w:val="32"/>
          <w:szCs w:val="32"/>
          <w:lang w:val="en-US" w:eastAsia="zh-CN"/>
        </w:rPr>
        <w:t>第十五届全国运动会皮划艇（静水）项目竞赛器材租赁项目</w:t>
      </w:r>
    </w:p>
    <w:p w14:paraId="3D374C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项目内容：</w:t>
      </w:r>
      <w:r>
        <w:rPr>
          <w:rFonts w:hint="eastAsia" w:ascii="仿宋" w:hAnsi="仿宋" w:eastAsia="仿宋" w:cs="仿宋"/>
          <w:sz w:val="32"/>
          <w:szCs w:val="32"/>
          <w:lang w:val="en-US" w:eastAsia="zh-CN"/>
        </w:rPr>
        <w:t>租赁第十五届全国运动会皮划艇（静水）项目竞赛器材</w:t>
      </w:r>
    </w:p>
    <w:p w14:paraId="698BE041">
      <w:pPr>
        <w:keepNext w:val="0"/>
        <w:keepLines w:val="0"/>
        <w:pageBreakBefore w:val="0"/>
        <w:widowControl w:val="0"/>
        <w:kinsoku/>
        <w:wordWrap/>
        <w:overflowPunct/>
        <w:topLinePunct w:val="0"/>
        <w:autoSpaceDE/>
        <w:autoSpaceDN/>
        <w:bidi w:val="0"/>
        <w:adjustRightInd/>
        <w:snapToGrid w:val="0"/>
        <w:ind w:left="0" w:firstLine="640" w:firstLineChars="200"/>
        <w:textAlignment w:val="auto"/>
        <w:rPr>
          <w:rFonts w:ascii="Arial"/>
          <w:color w:val="auto"/>
          <w:sz w:val="32"/>
          <w:szCs w:val="32"/>
          <w:highlight w:val="none"/>
        </w:rPr>
      </w:pPr>
      <w:r>
        <w:rPr>
          <w:rFonts w:hint="eastAsia" w:ascii="黑体" w:hAnsi="黑体" w:eastAsia="黑体" w:cs="黑体"/>
          <w:color w:val="auto"/>
          <w:sz w:val="32"/>
          <w:szCs w:val="32"/>
          <w:highlight w:val="none"/>
        </w:rPr>
        <w:t>二、采购</w:t>
      </w:r>
      <w:r>
        <w:rPr>
          <w:rFonts w:hint="eastAsia" w:ascii="黑体" w:hAnsi="黑体" w:eastAsia="黑体" w:cs="黑体"/>
          <w:color w:val="auto"/>
          <w:sz w:val="32"/>
          <w:szCs w:val="32"/>
          <w:highlight w:val="none"/>
          <w:lang w:val="en-US" w:eastAsia="zh-CN"/>
        </w:rPr>
        <w:t>内容</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技术要求</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商务要求</w:t>
      </w:r>
      <w:r>
        <w:rPr>
          <w:rFonts w:hint="eastAsia" w:ascii="黑体" w:hAnsi="黑体" w:eastAsia="黑体" w:cs="黑体"/>
          <w:color w:val="auto"/>
          <w:sz w:val="32"/>
          <w:szCs w:val="32"/>
          <w:highlight w:val="none"/>
        </w:rPr>
        <w:t>等）</w:t>
      </w:r>
    </w:p>
    <w:p w14:paraId="7ED8F6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（一）技术要求：包括但不限于性能、材料、结构、外观、安全，或者服务内容和标准等。</w:t>
      </w:r>
    </w:p>
    <w:tbl>
      <w:tblPr>
        <w:tblStyle w:val="9"/>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97"/>
        <w:gridCol w:w="1686"/>
        <w:gridCol w:w="4194"/>
        <w:gridCol w:w="766"/>
        <w:gridCol w:w="769"/>
        <w:gridCol w:w="1085"/>
      </w:tblGrid>
      <w:tr w14:paraId="595C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697" w:type="dxa"/>
            <w:shd w:val="clear" w:color="auto" w:fill="D7D7D7" w:themeFill="background1" w:themeFillShade="D8"/>
            <w:noWrap w:val="0"/>
            <w:vAlign w:val="center"/>
          </w:tcPr>
          <w:p w14:paraId="102AB966">
            <w:pPr>
              <w:pStyle w:val="8"/>
              <w:snapToGrid w:val="0"/>
              <w:spacing w:before="97" w:line="220" w:lineRule="auto"/>
              <w:ind w:left="37"/>
              <w:jc w:val="center"/>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序号</w:t>
            </w:r>
          </w:p>
        </w:tc>
        <w:tc>
          <w:tcPr>
            <w:tcW w:w="1686" w:type="dxa"/>
            <w:shd w:val="clear" w:color="auto" w:fill="D7D7D7" w:themeFill="background1" w:themeFillShade="D8"/>
            <w:noWrap w:val="0"/>
            <w:vAlign w:val="center"/>
          </w:tcPr>
          <w:p w14:paraId="3EDD488A">
            <w:pPr>
              <w:pStyle w:val="8"/>
              <w:snapToGrid w:val="0"/>
              <w:spacing w:before="97" w:line="22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pacing w:val="-9"/>
                <w:sz w:val="24"/>
                <w:szCs w:val="24"/>
                <w:highlight w:val="none"/>
                <w:lang w:eastAsia="zh-CN"/>
              </w:rPr>
              <w:t>名称</w:t>
            </w:r>
          </w:p>
        </w:tc>
        <w:tc>
          <w:tcPr>
            <w:tcW w:w="4194" w:type="dxa"/>
            <w:shd w:val="clear" w:color="auto" w:fill="D7D7D7" w:themeFill="background1" w:themeFillShade="D8"/>
            <w:noWrap w:val="0"/>
            <w:vAlign w:val="center"/>
          </w:tcPr>
          <w:p w14:paraId="2EA76E5A">
            <w:pPr>
              <w:pStyle w:val="8"/>
              <w:snapToGrid w:val="0"/>
              <w:spacing w:before="97" w:line="220" w:lineRule="auto"/>
              <w:ind w:left="68"/>
              <w:jc w:val="center"/>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val="en-US" w:eastAsia="zh-CN"/>
              </w:rPr>
              <w:t>参数</w:t>
            </w:r>
          </w:p>
        </w:tc>
        <w:tc>
          <w:tcPr>
            <w:tcW w:w="766" w:type="dxa"/>
            <w:shd w:val="clear" w:color="auto" w:fill="D7D7D7" w:themeFill="background1" w:themeFillShade="D8"/>
            <w:noWrap w:val="0"/>
            <w:vAlign w:val="center"/>
          </w:tcPr>
          <w:p w14:paraId="6B63AF1E">
            <w:pPr>
              <w:pStyle w:val="8"/>
              <w:snapToGrid w:val="0"/>
              <w:spacing w:before="97" w:line="220" w:lineRule="auto"/>
              <w:ind w:left="68"/>
              <w:jc w:val="both"/>
              <w:rPr>
                <w:rFonts w:hint="eastAsia" w:ascii="仿宋" w:hAnsi="仿宋" w:eastAsia="仿宋" w:cs="仿宋"/>
                <w:b/>
                <w:color w:val="auto"/>
                <w:sz w:val="24"/>
                <w:szCs w:val="24"/>
                <w:highlight w:val="none"/>
                <w:lang w:val="en-US" w:eastAsia="zh-CN"/>
              </w:rPr>
            </w:pPr>
            <w:r>
              <w:rPr>
                <w:rFonts w:hint="eastAsia" w:ascii="仿宋" w:hAnsi="仿宋" w:eastAsia="仿宋" w:cs="仿宋"/>
                <w:b/>
                <w:bCs/>
                <w:color w:val="auto"/>
                <w:spacing w:val="-9"/>
                <w:sz w:val="24"/>
                <w:szCs w:val="24"/>
                <w:highlight w:val="none"/>
                <w:lang w:eastAsia="zh-CN"/>
              </w:rPr>
              <w:t>单位</w:t>
            </w:r>
          </w:p>
        </w:tc>
        <w:tc>
          <w:tcPr>
            <w:tcW w:w="769" w:type="dxa"/>
            <w:shd w:val="clear" w:color="auto" w:fill="D7D7D7" w:themeFill="background1" w:themeFillShade="D8"/>
            <w:noWrap w:val="0"/>
            <w:vAlign w:val="center"/>
          </w:tcPr>
          <w:p w14:paraId="5F6504A5">
            <w:pPr>
              <w:pStyle w:val="8"/>
              <w:tabs>
                <w:tab w:val="left" w:pos="210"/>
              </w:tabs>
              <w:snapToGrid w:val="0"/>
              <w:spacing w:before="97" w:line="219" w:lineRule="auto"/>
              <w:jc w:val="center"/>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eastAsia="zh-CN"/>
              </w:rPr>
              <w:t>数量</w:t>
            </w:r>
          </w:p>
        </w:tc>
        <w:tc>
          <w:tcPr>
            <w:tcW w:w="1085" w:type="dxa"/>
            <w:shd w:val="clear" w:color="auto" w:fill="D7D7D7" w:themeFill="background1" w:themeFillShade="D8"/>
            <w:noWrap w:val="0"/>
            <w:vAlign w:val="center"/>
          </w:tcPr>
          <w:p w14:paraId="085338F0">
            <w:pPr>
              <w:pStyle w:val="8"/>
              <w:tabs>
                <w:tab w:val="left" w:pos="210"/>
              </w:tabs>
              <w:snapToGrid w:val="0"/>
              <w:spacing w:before="97" w:line="219" w:lineRule="auto"/>
              <w:jc w:val="center"/>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val="en-US" w:eastAsia="zh-CN"/>
              </w:rPr>
              <w:t>备注</w:t>
            </w:r>
          </w:p>
        </w:tc>
      </w:tr>
      <w:tr w14:paraId="2248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97" w:type="dxa"/>
            <w:noWrap w:val="0"/>
            <w:vAlign w:val="center"/>
          </w:tcPr>
          <w:p w14:paraId="19E06E09">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1</w:t>
            </w:r>
          </w:p>
        </w:tc>
        <w:tc>
          <w:tcPr>
            <w:tcW w:w="1686" w:type="dxa"/>
            <w:noWrap w:val="0"/>
            <w:vAlign w:val="center"/>
          </w:tcPr>
          <w:p w14:paraId="5E0B6A65">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移动厕所</w:t>
            </w:r>
          </w:p>
        </w:tc>
        <w:tc>
          <w:tcPr>
            <w:tcW w:w="4194" w:type="dxa"/>
            <w:noWrap w:val="0"/>
            <w:vAlign w:val="center"/>
          </w:tcPr>
          <w:p w14:paraId="683EF42D">
            <w:pPr>
              <w:keepNext w:val="0"/>
              <w:keepLines w:val="0"/>
              <w:widowControl/>
              <w:suppressLineNumbers w:val="0"/>
              <w:snapToGrid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auto"/>
                <w:spacing w:val="1"/>
                <w:sz w:val="22"/>
                <w:szCs w:val="22"/>
                <w:lang w:eastAsia="zh-CN"/>
              </w:rPr>
              <w:t>分段计时裁判员使用；尺寸: 230cm*110cm*110cm，厕所支撑柱采用优质铝合金型材与地面铁板有固定孔配膨胀螺丝固定。墙面采用聚苯乙烯隔热夹芯双面彩钢板。顶部采用铝合金包边。水箱采用耐用气压式冲水箱，排气扇配开关插座</w:t>
            </w:r>
          </w:p>
        </w:tc>
        <w:tc>
          <w:tcPr>
            <w:tcW w:w="766" w:type="dxa"/>
            <w:noWrap w:val="0"/>
            <w:vAlign w:val="center"/>
          </w:tcPr>
          <w:p w14:paraId="2C2FB9E8">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个</w:t>
            </w:r>
          </w:p>
        </w:tc>
        <w:tc>
          <w:tcPr>
            <w:tcW w:w="769" w:type="dxa"/>
            <w:noWrap w:val="0"/>
            <w:vAlign w:val="center"/>
          </w:tcPr>
          <w:p w14:paraId="0F78B328">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085" w:type="dxa"/>
            <w:noWrap w:val="0"/>
            <w:vAlign w:val="center"/>
          </w:tcPr>
          <w:p w14:paraId="4F98F45C">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包括排泄物清理</w:t>
            </w:r>
          </w:p>
        </w:tc>
      </w:tr>
      <w:tr w14:paraId="6B5F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97" w:type="dxa"/>
            <w:noWrap w:val="0"/>
            <w:vAlign w:val="center"/>
          </w:tcPr>
          <w:p w14:paraId="71105F0B">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2</w:t>
            </w:r>
          </w:p>
        </w:tc>
        <w:tc>
          <w:tcPr>
            <w:tcW w:w="1686" w:type="dxa"/>
            <w:noWrap w:val="0"/>
            <w:vAlign w:val="center"/>
          </w:tcPr>
          <w:p w14:paraId="6CFBA793">
            <w:pPr>
              <w:pStyle w:val="8"/>
              <w:snapToGrid w:val="0"/>
              <w:spacing w:before="59" w:line="224" w:lineRule="auto"/>
              <w:ind w:left="42" w:leftChars="20" w:right="42" w:rightChars="20"/>
              <w:jc w:val="center"/>
              <w:rPr>
                <w:rFonts w:hint="eastAsia" w:ascii="仿宋" w:hAnsi="仿宋" w:eastAsia="仿宋" w:cs="仿宋"/>
                <w:color w:val="auto"/>
                <w:sz w:val="22"/>
                <w:szCs w:val="22"/>
                <w:lang w:eastAsia="zh-CN"/>
              </w:rPr>
            </w:pPr>
            <w:r>
              <w:rPr>
                <w:rFonts w:hint="eastAsia" w:ascii="仿宋" w:hAnsi="仿宋" w:eastAsia="仿宋" w:cs="仿宋"/>
                <w:color w:val="auto"/>
                <w:spacing w:val="-7"/>
                <w:sz w:val="22"/>
                <w:szCs w:val="22"/>
                <w:lang w:eastAsia="zh-CN"/>
              </w:rPr>
              <w:t>比赛航道</w:t>
            </w:r>
          </w:p>
          <w:p w14:paraId="60C0D00F">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lang w:eastAsia="zh-CN"/>
              </w:rPr>
              <w:t>阿尔巴诺系统</w:t>
            </w:r>
            <w:r>
              <w:rPr>
                <w:rFonts w:hint="eastAsia" w:ascii="仿宋" w:hAnsi="仿宋" w:eastAsia="仿宋" w:cs="仿宋"/>
                <w:color w:val="auto"/>
                <w:spacing w:val="-1"/>
                <w:sz w:val="22"/>
                <w:szCs w:val="22"/>
                <w:lang w:eastAsia="zh-CN"/>
              </w:rPr>
              <w:t>及其所需配套</w:t>
            </w:r>
          </w:p>
        </w:tc>
        <w:tc>
          <w:tcPr>
            <w:tcW w:w="4194" w:type="dxa"/>
            <w:noWrap w:val="0"/>
            <w:vAlign w:val="center"/>
          </w:tcPr>
          <w:p w14:paraId="55C45E0D">
            <w:pPr>
              <w:pStyle w:val="8"/>
              <w:snapToGrid w:val="0"/>
              <w:spacing w:before="23"/>
              <w:ind w:left="48" w:leftChars="20" w:right="42" w:rightChars="20" w:hanging="6"/>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与自动起航装置配套，航道要按照规定布置，所需的钢丝、绳索、浮球、标志球、标识牌等全部包含在内；</w:t>
            </w:r>
          </w:p>
          <w:p w14:paraId="33BC6026">
            <w:pPr>
              <w:pStyle w:val="3"/>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具体规格参数如下：</w:t>
            </w:r>
          </w:p>
          <w:p w14:paraId="1AFE6C97">
            <w:pPr>
              <w:pStyle w:val="3"/>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界外旗8面：红色，40cm×40cm，在起、终点线外侧（0、200、500、1000）</w:t>
            </w:r>
          </w:p>
          <w:p w14:paraId="6CEA7E2F">
            <w:pPr>
              <w:pStyle w:val="3"/>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瞄准牌4个：规格2.5m高×1m宽，一半黄色、一半黑色（起点方向为黄色、终点方向为黑色），安装时底边距水面1-1.5m高（0、200、500、1000，固定不动）</w:t>
            </w:r>
          </w:p>
          <w:p w14:paraId="179D6170">
            <w:pPr>
              <w:keepNext w:val="0"/>
              <w:keepLines w:val="0"/>
              <w:pageBreakBefore w:val="0"/>
              <w:kinsoku/>
              <w:wordWrap/>
              <w:overflowPunct/>
              <w:topLinePunct w:val="0"/>
              <w:autoSpaceDE/>
              <w:autoSpaceDN/>
              <w:bidi w:val="0"/>
              <w:adjustRightInd/>
              <w:snapToGrid w:val="0"/>
              <w:spacing w:beforeAutospacing="0" w:afterAutospacing="0" w:line="240" w:lineRule="auto"/>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岸上距离标识牌6个：规格2m长×1m高，有一定角度（面向水面120度、两侧都要有数字），安装时底边距水面0.5-1m（0、200、250、500、750、1000）增加至2000m，与赛艇共用</w:t>
            </w:r>
          </w:p>
          <w:p w14:paraId="31F40C50">
            <w:pPr>
              <w:keepNext w:val="0"/>
              <w:keepLines w:val="0"/>
              <w:pageBreakBefore w:val="0"/>
              <w:kinsoku/>
              <w:wordWrap/>
              <w:overflowPunct/>
              <w:topLinePunct w:val="0"/>
              <w:autoSpaceDE/>
              <w:autoSpaceDN/>
              <w:bidi w:val="0"/>
              <w:adjustRightInd/>
              <w:snapToGrid w:val="0"/>
              <w:spacing w:beforeAutospacing="0" w:afterAutospacing="0" w:line="240" w:lineRule="auto"/>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不锈钢丝1批：316型，直径4-4.5mm，结构7X19，长度17条航道线和限位钢丝等不少于4.3万m；可与赛艇共用</w:t>
            </w:r>
          </w:p>
          <w:p w14:paraId="5AB161F8">
            <w:pPr>
              <w:pStyle w:val="3"/>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终点道次浮标1套：70cm×70cm×70cm的大浮标，上面分别标数0,1,2,3,4,5,6,7,8,9，白底黑字，字高60cm（10个）可与赛艇共用</w:t>
            </w:r>
          </w:p>
          <w:p w14:paraId="0CD309D4">
            <w:pPr>
              <w:keepNext w:val="0"/>
              <w:keepLines w:val="0"/>
              <w:pageBreakBefore w:val="0"/>
              <w:kinsoku/>
              <w:wordWrap/>
              <w:overflowPunct/>
              <w:topLinePunct w:val="0"/>
              <w:autoSpaceDE/>
              <w:autoSpaceDN/>
              <w:bidi w:val="0"/>
              <w:adjustRightInd/>
              <w:snapToGrid w:val="0"/>
              <w:spacing w:beforeAutospacing="0" w:afterAutospacing="0" w:line="240" w:lineRule="auto"/>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9条航道（10根钢丝）红色浮球1批：规格直径15-20cm（训练航道浮球不在内），约500个（根据实际确实）</w:t>
            </w:r>
          </w:p>
          <w:p w14:paraId="7BBD3889">
            <w:pPr>
              <w:pStyle w:val="3"/>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9条航道（10根钢丝）白色浮球1批：规格直径15-20cm（训练航道浮球不在内），约2500个（根据实际确实）</w:t>
            </w:r>
          </w:p>
          <w:p w14:paraId="0996FBCE">
            <w:pPr>
              <w:keepNext w:val="0"/>
              <w:keepLines w:val="0"/>
              <w:pageBreakBefore w:val="0"/>
              <w:kinsoku/>
              <w:wordWrap/>
              <w:overflowPunct/>
              <w:topLinePunct w:val="0"/>
              <w:autoSpaceDE/>
              <w:autoSpaceDN/>
              <w:bidi w:val="0"/>
              <w:adjustRightInd/>
              <w:snapToGrid w:val="0"/>
              <w:spacing w:beforeAutospacing="0" w:afterAutospacing="0" w:line="240" w:lineRule="auto"/>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航道线浮球（黄色）1批：规格直径15-20cm。除终点区域100米内以及每隔100米距离布置红色浮球之外，航道线上其余所有浮球应该黄、白相间，也即是黄色浮球与白色浮球各半，黄色浮球需360个（根据实际确定）</w:t>
            </w:r>
          </w:p>
          <w:p w14:paraId="72B205B4">
            <w:pPr>
              <w:pStyle w:val="3"/>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游泳线2条（1千米每条）：用于间隔上下水码头（根据比赛场地布置情况，可能要增加）</w:t>
            </w:r>
          </w:p>
          <w:p w14:paraId="4AE586C8">
            <w:pPr>
              <w:keepNext w:val="0"/>
              <w:keepLines w:val="0"/>
              <w:pageBreakBefore w:val="0"/>
              <w:kinsoku/>
              <w:wordWrap/>
              <w:overflowPunct/>
              <w:topLinePunct w:val="0"/>
              <w:autoSpaceDE/>
              <w:autoSpaceDN/>
              <w:bidi w:val="0"/>
              <w:adjustRightInd/>
              <w:snapToGrid w:val="0"/>
              <w:spacing w:beforeAutospacing="0" w:afterAutospacing="0" w:line="240" w:lineRule="auto"/>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界外球4个：红色，80cm(250、750)</w:t>
            </w:r>
          </w:p>
          <w:p w14:paraId="7989A0E9">
            <w:pPr>
              <w:pStyle w:val="3"/>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240" w:lineRule="auto"/>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1000m、750m、500m、250m、200m、终点，共计6根瞄准线(0.1cm的黑色线)</w:t>
            </w:r>
          </w:p>
          <w:p w14:paraId="4B61F70D">
            <w:pPr>
              <w:keepNext w:val="0"/>
              <w:keepLines w:val="0"/>
              <w:pageBreakBefore w:val="0"/>
              <w:kinsoku/>
              <w:wordWrap/>
              <w:overflowPunct/>
              <w:topLinePunct w:val="0"/>
              <w:autoSpaceDE/>
              <w:autoSpaceDN/>
              <w:bidi w:val="0"/>
              <w:adjustRightInd/>
              <w:snapToGrid w:val="0"/>
              <w:spacing w:beforeAutospacing="0" w:afterAutospacing="0" w:line="240" w:lineRule="auto"/>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尼龙线绳1批：用于浮球与钢丝链接和固定水面物体用；直径3mm</w:t>
            </w:r>
          </w:p>
        </w:tc>
        <w:tc>
          <w:tcPr>
            <w:tcW w:w="766" w:type="dxa"/>
            <w:noWrap w:val="0"/>
            <w:vAlign w:val="center"/>
          </w:tcPr>
          <w:p w14:paraId="34482795">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套</w:t>
            </w:r>
          </w:p>
        </w:tc>
        <w:tc>
          <w:tcPr>
            <w:tcW w:w="769" w:type="dxa"/>
            <w:noWrap w:val="0"/>
            <w:vAlign w:val="center"/>
          </w:tcPr>
          <w:p w14:paraId="428B0C97">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085" w:type="dxa"/>
            <w:noWrap w:val="0"/>
            <w:vAlign w:val="center"/>
          </w:tcPr>
          <w:p w14:paraId="1F476A95">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281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97" w:type="dxa"/>
            <w:noWrap w:val="0"/>
            <w:vAlign w:val="center"/>
          </w:tcPr>
          <w:p w14:paraId="2DDF6581">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3</w:t>
            </w:r>
          </w:p>
        </w:tc>
        <w:tc>
          <w:tcPr>
            <w:tcW w:w="1686" w:type="dxa"/>
            <w:noWrap w:val="0"/>
            <w:vAlign w:val="center"/>
          </w:tcPr>
          <w:p w14:paraId="0D6F9CDF">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外航道水线</w:t>
            </w:r>
          </w:p>
        </w:tc>
        <w:tc>
          <w:tcPr>
            <w:tcW w:w="4194" w:type="dxa"/>
            <w:noWrap w:val="0"/>
            <w:vAlign w:val="center"/>
          </w:tcPr>
          <w:p w14:paraId="269A233B">
            <w:pPr>
              <w:keepNext w:val="0"/>
              <w:keepLines w:val="0"/>
              <w:widowControl/>
              <w:suppressLineNumbers w:val="0"/>
              <w:snapToGrid w:val="0"/>
              <w:jc w:val="both"/>
              <w:textAlignment w:val="center"/>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隔离带材质为尼龙，浮球大小为10cm，材质为PVC，总长为1000m±100mm，</w:t>
            </w:r>
          </w:p>
        </w:tc>
        <w:tc>
          <w:tcPr>
            <w:tcW w:w="766" w:type="dxa"/>
            <w:noWrap w:val="0"/>
            <w:vAlign w:val="center"/>
          </w:tcPr>
          <w:p w14:paraId="54BE611F">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条</w:t>
            </w:r>
          </w:p>
        </w:tc>
        <w:tc>
          <w:tcPr>
            <w:tcW w:w="769" w:type="dxa"/>
            <w:noWrap w:val="0"/>
            <w:vAlign w:val="center"/>
          </w:tcPr>
          <w:p w14:paraId="71EF4B83">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085" w:type="dxa"/>
            <w:noWrap w:val="0"/>
            <w:vAlign w:val="center"/>
          </w:tcPr>
          <w:p w14:paraId="050BAF2D">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A84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97" w:type="dxa"/>
            <w:noWrap w:val="0"/>
            <w:vAlign w:val="center"/>
          </w:tcPr>
          <w:p w14:paraId="23D51B9C">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4</w:t>
            </w:r>
          </w:p>
        </w:tc>
        <w:tc>
          <w:tcPr>
            <w:tcW w:w="1686" w:type="dxa"/>
            <w:noWrap w:val="0"/>
            <w:vAlign w:val="center"/>
          </w:tcPr>
          <w:p w14:paraId="5025E233">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自动起航装置,与阿尔巴诺系统配套（带终点电子计时系统和分段计时系统）(均租赁)1000m、500m、200m各安置一套</w:t>
            </w:r>
          </w:p>
        </w:tc>
        <w:tc>
          <w:tcPr>
            <w:tcW w:w="4194" w:type="dxa"/>
            <w:noWrap w:val="0"/>
            <w:vAlign w:val="center"/>
          </w:tcPr>
          <w:p w14:paraId="684E6FE1">
            <w:pPr>
              <w:pStyle w:val="8"/>
              <w:snapToGrid w:val="0"/>
              <w:spacing w:before="25"/>
              <w:ind w:left="42" w:leftChars="20" w:right="42" w:rightChars="20" w:firstLine="9"/>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1000m、500m、200m各安置一套，每套带发令喇叭，话筒架，9道均带音响系统。另带3部UPS储电池，三部气泵。如果租赁需备有气阀等关键进口配件，气管全部换新的。使用年限不得超过四年，三套起航器在模拟赛后要提供全面维护。</w:t>
            </w:r>
          </w:p>
          <w:p w14:paraId="344CDE15">
            <w:pPr>
              <w:snapToGrid w:val="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1.整套系统具有自动升降功能；</w:t>
            </w:r>
          </w:p>
          <w:p w14:paraId="25EA3E6B">
            <w:pPr>
              <w:snapToGrid w:val="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2.与电子计时系统兼容，电子计时设备能接收起航器发送的发令信号，即可同步开始计时；</w:t>
            </w:r>
          </w:p>
          <w:p w14:paraId="7AE13EA6">
            <w:pPr>
              <w:snapToGrid w:val="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3.与阿尔巴诺系统配套；</w:t>
            </w:r>
          </w:p>
          <w:p w14:paraId="4F7801C8">
            <w:pPr>
              <w:snapToGrid w:val="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4.整套系统可在水面自由漂浮；</w:t>
            </w:r>
          </w:p>
          <w:p w14:paraId="21840273">
            <w:pPr>
              <w:snapToGrid w:val="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5.皮划艇每道9000±100mm宽，共9条航道；</w:t>
            </w:r>
          </w:p>
          <w:p w14:paraId="172592FA">
            <w:pPr>
              <w:snapToGrid w:val="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6.起航器安装水深要求不低于1500mm；</w:t>
            </w:r>
          </w:p>
          <w:p w14:paraId="75AB9782">
            <w:pPr>
              <w:snapToGrid w:val="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7.起航器沉入水下后距水面约1200mm ；</w:t>
            </w:r>
          </w:p>
          <w:p w14:paraId="266E21BD">
            <w:pPr>
              <w:snapToGrid w:val="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8.起航时船鞋入水时间≤0.09 秒；</w:t>
            </w:r>
          </w:p>
          <w:p w14:paraId="14E86536">
            <w:pPr>
              <w:snapToGrid w:val="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9.水面上方固定有浮桶；</w:t>
            </w:r>
          </w:p>
          <w:p w14:paraId="039A4CDF">
            <w:pPr>
              <w:snapToGrid w:val="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10.起航器的所有功能均通过操作箱来操作，操作语言为中英文；</w:t>
            </w:r>
          </w:p>
          <w:p w14:paraId="4C9494EE">
            <w:pPr>
              <w:snapToGrid w:val="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11.每套起航器配备一台无油空气压缩机，功率为 240 升/分钟；</w:t>
            </w:r>
          </w:p>
          <w:p w14:paraId="3E7A0AC1">
            <w:pPr>
              <w:snapToGrid w:val="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12.起航器为铝制材料、框架结构，质量轻、稳定性好、强度高。</w:t>
            </w:r>
          </w:p>
          <w:p w14:paraId="616D9DE0">
            <w:pPr>
              <w:snapToGrid w:val="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13.所含部件：</w:t>
            </w:r>
          </w:p>
          <w:p w14:paraId="22DE04B6">
            <w:pPr>
              <w:snapToGrid w:val="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(1) 9个起动装置</w:t>
            </w:r>
          </w:p>
          <w:p w14:paraId="2C11AE4B">
            <w:pPr>
              <w:snapToGrid w:val="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(2) 20个浮标</w:t>
            </w:r>
          </w:p>
          <w:p w14:paraId="7E56EE7C">
            <w:pPr>
              <w:snapToGrid w:val="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(3) 10个浮标支架</w:t>
            </w:r>
          </w:p>
          <w:p w14:paraId="6D0D5197">
            <w:pPr>
              <w:snapToGrid w:val="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(4) 9个扬声器</w:t>
            </w:r>
          </w:p>
          <w:p w14:paraId="2C31437D">
            <w:pPr>
              <w:snapToGrid w:val="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(5)50米连接电缆</w:t>
            </w:r>
          </w:p>
          <w:p w14:paraId="7A5C03DD">
            <w:pPr>
              <w:snapToGrid w:val="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(6)50米气动导管</w:t>
            </w:r>
          </w:p>
          <w:p w14:paraId="6EDB1C09">
            <w:pPr>
              <w:keepNext w:val="0"/>
              <w:keepLines w:val="0"/>
              <w:widowControl/>
              <w:suppressLineNumbers w:val="0"/>
              <w:snapToGrid w:val="0"/>
              <w:jc w:val="both"/>
              <w:textAlignment w:val="center"/>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(7)控制箱</w:t>
            </w:r>
          </w:p>
        </w:tc>
        <w:tc>
          <w:tcPr>
            <w:tcW w:w="766" w:type="dxa"/>
            <w:noWrap w:val="0"/>
            <w:vAlign w:val="center"/>
          </w:tcPr>
          <w:p w14:paraId="25761972">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套</w:t>
            </w:r>
          </w:p>
        </w:tc>
        <w:tc>
          <w:tcPr>
            <w:tcW w:w="769" w:type="dxa"/>
            <w:noWrap w:val="0"/>
            <w:vAlign w:val="center"/>
          </w:tcPr>
          <w:p w14:paraId="7C5E22B4">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085" w:type="dxa"/>
            <w:noWrap w:val="0"/>
            <w:vAlign w:val="center"/>
          </w:tcPr>
          <w:p w14:paraId="67DBE9F5">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283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97" w:type="dxa"/>
            <w:noWrap w:val="0"/>
            <w:vAlign w:val="center"/>
          </w:tcPr>
          <w:p w14:paraId="0E706064">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5</w:t>
            </w:r>
          </w:p>
        </w:tc>
        <w:tc>
          <w:tcPr>
            <w:tcW w:w="1686" w:type="dxa"/>
            <w:noWrap w:val="0"/>
            <w:vAlign w:val="center"/>
          </w:tcPr>
          <w:p w14:paraId="5DF0F041">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安全救生艇</w:t>
            </w:r>
          </w:p>
        </w:tc>
        <w:tc>
          <w:tcPr>
            <w:tcW w:w="4194" w:type="dxa"/>
            <w:noWrap w:val="0"/>
            <w:vAlign w:val="center"/>
          </w:tcPr>
          <w:p w14:paraId="2E30146A">
            <w:pPr>
              <w:pStyle w:val="8"/>
              <w:snapToGrid w:val="0"/>
              <w:spacing w:line="206" w:lineRule="auto"/>
              <w:ind w:left="42" w:leftChars="20" w:right="42" w:rightChars="2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1. 3.8m单体橡皮艇，外部尺寸3800mm±50mm×1750mm±50mm，内部尺寸2660mm±50mm×800mm±50mm；</w:t>
            </w:r>
          </w:p>
          <w:p w14:paraId="19D7DB8C">
            <w:pPr>
              <w:pStyle w:val="8"/>
              <w:snapToGrid w:val="0"/>
              <w:spacing w:line="206" w:lineRule="auto"/>
              <w:ind w:left="42" w:leftChars="20" w:right="42" w:rightChars="2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2.气囊直径450mm±20mm，气室数量为4个；</w:t>
            </w:r>
          </w:p>
          <w:p w14:paraId="082C76B3">
            <w:pPr>
              <w:pStyle w:val="8"/>
              <w:snapToGrid w:val="0"/>
              <w:spacing w:line="206" w:lineRule="auto"/>
              <w:ind w:left="42" w:leftChars="20" w:right="42" w:rightChars="2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3.最大承载1000kg；</w:t>
            </w:r>
          </w:p>
          <w:p w14:paraId="62EE4270">
            <w:pPr>
              <w:pStyle w:val="8"/>
              <w:snapToGrid w:val="0"/>
              <w:spacing w:line="206" w:lineRule="auto"/>
              <w:ind w:left="42" w:leftChars="20" w:right="42" w:rightChars="2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4.最大承载人数8人；</w:t>
            </w:r>
          </w:p>
          <w:p w14:paraId="7154D3C4">
            <w:pPr>
              <w:pStyle w:val="8"/>
              <w:snapToGrid w:val="0"/>
              <w:spacing w:line="206" w:lineRule="auto"/>
              <w:ind w:left="42" w:leftChars="20" w:right="42" w:rightChars="2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5.材质为1.2mm厚高密度pvc船体材质，铝合金底；</w:t>
            </w:r>
          </w:p>
          <w:p w14:paraId="2C327C73">
            <w:pPr>
              <w:keepNext w:val="0"/>
              <w:keepLines w:val="0"/>
              <w:widowControl/>
              <w:suppressLineNumbers w:val="0"/>
              <w:snapToGrid w:val="0"/>
              <w:jc w:val="both"/>
              <w:textAlignment w:val="center"/>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6.配30匹后操舷外机。（含赛事所需用油：25L/日/艘*8日*4艘=800L）</w:t>
            </w:r>
          </w:p>
        </w:tc>
        <w:tc>
          <w:tcPr>
            <w:tcW w:w="766" w:type="dxa"/>
            <w:noWrap w:val="0"/>
            <w:vAlign w:val="center"/>
          </w:tcPr>
          <w:p w14:paraId="6F21664A">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艘</w:t>
            </w:r>
          </w:p>
        </w:tc>
        <w:tc>
          <w:tcPr>
            <w:tcW w:w="769" w:type="dxa"/>
            <w:noWrap w:val="0"/>
            <w:vAlign w:val="center"/>
          </w:tcPr>
          <w:p w14:paraId="04EE1111">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w:t>
            </w:r>
          </w:p>
        </w:tc>
        <w:tc>
          <w:tcPr>
            <w:tcW w:w="1085" w:type="dxa"/>
            <w:noWrap w:val="0"/>
            <w:vAlign w:val="center"/>
          </w:tcPr>
          <w:p w14:paraId="2F52B667">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14:paraId="0155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97" w:type="dxa"/>
            <w:noWrap w:val="0"/>
            <w:vAlign w:val="center"/>
          </w:tcPr>
          <w:p w14:paraId="790B93A2">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6</w:t>
            </w:r>
          </w:p>
        </w:tc>
        <w:tc>
          <w:tcPr>
            <w:tcW w:w="1686" w:type="dxa"/>
            <w:noWrap w:val="0"/>
            <w:vAlign w:val="center"/>
          </w:tcPr>
          <w:p w14:paraId="1DA7A335">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新闻媒体用船</w:t>
            </w:r>
          </w:p>
        </w:tc>
        <w:tc>
          <w:tcPr>
            <w:tcW w:w="4194" w:type="dxa"/>
            <w:noWrap w:val="0"/>
            <w:vAlign w:val="center"/>
          </w:tcPr>
          <w:p w14:paraId="42FBF67F">
            <w:pPr>
              <w:pStyle w:val="8"/>
              <w:snapToGrid w:val="0"/>
              <w:spacing w:line="208" w:lineRule="auto"/>
              <w:ind w:left="42" w:leftChars="20" w:right="42" w:rightChars="2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1.830型双体船，长度8475mm±10mm，宽度2400mm±10mm， 驾驶台高度850mm±10mm，配置50P四冲程舷外机。</w:t>
            </w:r>
          </w:p>
          <w:p w14:paraId="31CBCBB7">
            <w:pPr>
              <w:pStyle w:val="8"/>
              <w:snapToGrid w:val="0"/>
              <w:spacing w:line="208" w:lineRule="auto"/>
              <w:ind w:left="42" w:leftChars="20" w:right="42" w:rightChars="2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2.艇壳材质：高强高模玻璃布，PVC泡沫，混纺布加强，船体表面喷涂白色胶衣，船艇配铝合金平板，配备油箱、驾驶台、顶蓬、操舵系统、电瓶。</w:t>
            </w:r>
          </w:p>
          <w:p w14:paraId="19693966">
            <w:pPr>
              <w:keepNext w:val="0"/>
              <w:keepLines w:val="0"/>
              <w:widowControl/>
              <w:suppressLineNumbers w:val="0"/>
              <w:snapToGrid w:val="0"/>
              <w:jc w:val="both"/>
              <w:textAlignment w:val="center"/>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3.结构采用双体消浪结构，通过双体结构将大部分水浪消散在双体结构内部，同时采用导流消浪器，将水流浪花通过导流消浪器压制在水底，减少浪花。(含赛事所需用油：25L/日/艘*8日*1艘=200L)</w:t>
            </w:r>
          </w:p>
        </w:tc>
        <w:tc>
          <w:tcPr>
            <w:tcW w:w="766" w:type="dxa"/>
            <w:noWrap w:val="0"/>
            <w:vAlign w:val="center"/>
          </w:tcPr>
          <w:p w14:paraId="6C2BE005">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艘</w:t>
            </w:r>
          </w:p>
        </w:tc>
        <w:tc>
          <w:tcPr>
            <w:tcW w:w="769" w:type="dxa"/>
            <w:noWrap w:val="0"/>
            <w:vAlign w:val="center"/>
          </w:tcPr>
          <w:p w14:paraId="390C1187">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1085" w:type="dxa"/>
            <w:noWrap w:val="0"/>
            <w:vAlign w:val="center"/>
          </w:tcPr>
          <w:p w14:paraId="27525F79">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14:paraId="0D27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97" w:type="dxa"/>
            <w:noWrap w:val="0"/>
            <w:vAlign w:val="center"/>
          </w:tcPr>
          <w:p w14:paraId="59F4C683">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7</w:t>
            </w:r>
          </w:p>
        </w:tc>
        <w:tc>
          <w:tcPr>
            <w:tcW w:w="1686" w:type="dxa"/>
            <w:noWrap w:val="0"/>
            <w:vAlign w:val="center"/>
          </w:tcPr>
          <w:p w14:paraId="0F70E29D">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pacing w:val="1"/>
                <w:kern w:val="2"/>
                <w:sz w:val="22"/>
                <w:szCs w:val="22"/>
                <w:lang w:val="en-US" w:eastAsia="zh-CN" w:bidi="ar-SA"/>
              </w:rPr>
              <w:t>校秤</w:t>
            </w:r>
            <w:r>
              <w:rPr>
                <w:rFonts w:hint="eastAsia" w:ascii="仿宋" w:hAnsi="仿宋" w:eastAsia="仿宋" w:cs="仿宋"/>
                <w:i w:val="0"/>
                <w:iCs w:val="0"/>
                <w:color w:val="000000"/>
                <w:kern w:val="0"/>
                <w:sz w:val="22"/>
                <w:szCs w:val="22"/>
                <w:u w:val="none"/>
                <w:lang w:val="en-US" w:eastAsia="zh-CN" w:bidi="ar"/>
              </w:rPr>
              <w:t>砝码</w:t>
            </w:r>
          </w:p>
        </w:tc>
        <w:tc>
          <w:tcPr>
            <w:tcW w:w="4194" w:type="dxa"/>
            <w:noWrap w:val="0"/>
            <w:vAlign w:val="center"/>
          </w:tcPr>
          <w:p w14:paraId="1B16720D">
            <w:pPr>
              <w:keepNext w:val="0"/>
              <w:keepLines w:val="0"/>
              <w:widowControl/>
              <w:suppressLineNumbers w:val="0"/>
              <w:snapToGrid w:val="0"/>
              <w:jc w:val="both"/>
              <w:textAlignment w:val="center"/>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50g、100g、5000g，（另增加两个1Kg的校秤砝码，用于船艇检查裁判较准电子</w:t>
            </w:r>
          </w:p>
        </w:tc>
        <w:tc>
          <w:tcPr>
            <w:tcW w:w="766" w:type="dxa"/>
            <w:noWrap w:val="0"/>
            <w:vAlign w:val="center"/>
          </w:tcPr>
          <w:p w14:paraId="05B2504B">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套</w:t>
            </w:r>
          </w:p>
        </w:tc>
        <w:tc>
          <w:tcPr>
            <w:tcW w:w="769" w:type="dxa"/>
            <w:noWrap w:val="0"/>
            <w:vAlign w:val="center"/>
          </w:tcPr>
          <w:p w14:paraId="405ADAEA">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085" w:type="dxa"/>
            <w:noWrap w:val="0"/>
            <w:vAlign w:val="center"/>
          </w:tcPr>
          <w:p w14:paraId="1F5EBEF1">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8AE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97" w:type="dxa"/>
            <w:noWrap w:val="0"/>
            <w:vAlign w:val="center"/>
          </w:tcPr>
          <w:p w14:paraId="022BC818">
            <w:pPr>
              <w:keepNext w:val="0"/>
              <w:keepLines w:val="0"/>
              <w:widowControl/>
              <w:suppressLineNumbers w:val="0"/>
              <w:snapToGrid w:val="0"/>
              <w:jc w:val="center"/>
              <w:textAlignment w:val="center"/>
              <w:rPr>
                <w:rFonts w:hint="eastAsia" w:ascii="仿宋" w:hAnsi="仿宋" w:eastAsia="仿宋" w:cs="仿宋"/>
                <w:color w:val="auto"/>
                <w:sz w:val="22"/>
                <w:szCs w:val="22"/>
                <w:highlight w:val="none"/>
                <w:lang w:val="en-US"/>
              </w:rPr>
            </w:pPr>
            <w:r>
              <w:rPr>
                <w:rFonts w:hint="eastAsia" w:ascii="仿宋" w:hAnsi="仿宋" w:eastAsia="仿宋" w:cs="仿宋"/>
                <w:i w:val="0"/>
                <w:iCs w:val="0"/>
                <w:color w:val="000000"/>
                <w:kern w:val="0"/>
                <w:sz w:val="22"/>
                <w:szCs w:val="22"/>
                <w:u w:val="none"/>
                <w:lang w:val="en-US" w:eastAsia="zh-CN" w:bidi="ar"/>
              </w:rPr>
              <w:t>8</w:t>
            </w:r>
          </w:p>
        </w:tc>
        <w:tc>
          <w:tcPr>
            <w:tcW w:w="1686" w:type="dxa"/>
            <w:noWrap w:val="0"/>
            <w:vAlign w:val="center"/>
          </w:tcPr>
          <w:p w14:paraId="295254AA">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裁判用桌、椅</w:t>
            </w:r>
          </w:p>
        </w:tc>
        <w:tc>
          <w:tcPr>
            <w:tcW w:w="4194" w:type="dxa"/>
            <w:noWrap w:val="0"/>
            <w:vAlign w:val="center"/>
          </w:tcPr>
          <w:p w14:paraId="3A97BF0E">
            <w:pPr>
              <w:keepNext w:val="0"/>
              <w:keepLines w:val="0"/>
              <w:widowControl/>
              <w:suppressLineNumbers w:val="0"/>
              <w:snapToGrid w:val="0"/>
              <w:jc w:val="both"/>
              <w:textAlignment w:val="center"/>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取齐、终点、检录、分段等（根据场地、岗位实际情况配备）; 白色可折叠，桌面尺寸为120*60±5cm，材质为高密度聚乙烯，高度74±5cm，桌脚配有防滑套。</w:t>
            </w:r>
          </w:p>
        </w:tc>
        <w:tc>
          <w:tcPr>
            <w:tcW w:w="766" w:type="dxa"/>
            <w:noWrap w:val="0"/>
            <w:vAlign w:val="center"/>
          </w:tcPr>
          <w:p w14:paraId="042D8337">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套</w:t>
            </w:r>
          </w:p>
        </w:tc>
        <w:tc>
          <w:tcPr>
            <w:tcW w:w="769" w:type="dxa"/>
            <w:noWrap w:val="0"/>
            <w:vAlign w:val="center"/>
          </w:tcPr>
          <w:p w14:paraId="4215A5F1">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1085" w:type="dxa"/>
            <w:noWrap w:val="0"/>
            <w:vAlign w:val="center"/>
          </w:tcPr>
          <w:p w14:paraId="2104DA14">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AFD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97" w:type="dxa"/>
            <w:noWrap w:val="0"/>
            <w:vAlign w:val="center"/>
          </w:tcPr>
          <w:p w14:paraId="08B28F4B">
            <w:pPr>
              <w:keepNext w:val="0"/>
              <w:keepLines w:val="0"/>
              <w:widowControl/>
              <w:suppressLineNumbers w:val="0"/>
              <w:snapToGrid w:val="0"/>
              <w:jc w:val="center"/>
              <w:textAlignment w:val="center"/>
              <w:rPr>
                <w:rFonts w:hint="eastAsia" w:ascii="仿宋" w:hAnsi="仿宋" w:eastAsia="仿宋" w:cs="仿宋"/>
                <w:color w:val="auto"/>
                <w:sz w:val="22"/>
                <w:szCs w:val="22"/>
                <w:highlight w:val="none"/>
                <w:lang w:val="en-US"/>
              </w:rPr>
            </w:pPr>
            <w:r>
              <w:rPr>
                <w:rFonts w:hint="eastAsia" w:ascii="仿宋" w:hAnsi="仿宋" w:eastAsia="仿宋" w:cs="仿宋"/>
                <w:i w:val="0"/>
                <w:iCs w:val="0"/>
                <w:color w:val="000000"/>
                <w:kern w:val="0"/>
                <w:sz w:val="22"/>
                <w:szCs w:val="22"/>
                <w:u w:val="none"/>
                <w:lang w:val="en-US" w:eastAsia="zh-CN" w:bidi="ar"/>
              </w:rPr>
              <w:t>9</w:t>
            </w:r>
          </w:p>
        </w:tc>
        <w:tc>
          <w:tcPr>
            <w:tcW w:w="1686" w:type="dxa"/>
            <w:noWrap w:val="0"/>
            <w:vAlign w:val="center"/>
          </w:tcPr>
          <w:p w14:paraId="46A47496">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激光打印机</w:t>
            </w:r>
          </w:p>
        </w:tc>
        <w:tc>
          <w:tcPr>
            <w:tcW w:w="4194" w:type="dxa"/>
            <w:noWrap w:val="0"/>
            <w:vAlign w:val="center"/>
          </w:tcPr>
          <w:p w14:paraId="0C53F3CE">
            <w:pPr>
              <w:keepNext w:val="0"/>
              <w:keepLines w:val="0"/>
              <w:widowControl/>
              <w:suppressLineNumbers w:val="0"/>
              <w:snapToGrid w:val="0"/>
              <w:jc w:val="both"/>
              <w:textAlignment w:val="center"/>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普通A4（备耗材）; 600MHzCPU,128MB内存，LCD显示屏，20ppm打印速度，重量不大于10KG，鼓粉一体，支持USB、有线网络、无线网络</w:t>
            </w:r>
          </w:p>
        </w:tc>
        <w:tc>
          <w:tcPr>
            <w:tcW w:w="766" w:type="dxa"/>
            <w:noWrap w:val="0"/>
            <w:vAlign w:val="center"/>
          </w:tcPr>
          <w:p w14:paraId="1086EE71">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台</w:t>
            </w:r>
          </w:p>
        </w:tc>
        <w:tc>
          <w:tcPr>
            <w:tcW w:w="769" w:type="dxa"/>
            <w:noWrap w:val="0"/>
            <w:vAlign w:val="center"/>
          </w:tcPr>
          <w:p w14:paraId="2ED1A53F">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085" w:type="dxa"/>
            <w:noWrap w:val="0"/>
            <w:vAlign w:val="center"/>
          </w:tcPr>
          <w:p w14:paraId="3998A488">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0626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97" w:type="dxa"/>
            <w:noWrap w:val="0"/>
            <w:vAlign w:val="center"/>
          </w:tcPr>
          <w:p w14:paraId="5BE55F81">
            <w:pPr>
              <w:keepNext w:val="0"/>
              <w:keepLines w:val="0"/>
              <w:widowControl/>
              <w:suppressLineNumbers w:val="0"/>
              <w:snapToGrid w:val="0"/>
              <w:jc w:val="center"/>
              <w:textAlignment w:val="center"/>
              <w:rPr>
                <w:rFonts w:hint="eastAsia" w:ascii="仿宋" w:hAnsi="仿宋" w:eastAsia="仿宋" w:cs="仿宋"/>
                <w:color w:val="auto"/>
                <w:sz w:val="22"/>
                <w:szCs w:val="22"/>
                <w:highlight w:val="none"/>
                <w:lang w:val="en-US"/>
              </w:rPr>
            </w:pPr>
            <w:r>
              <w:rPr>
                <w:rFonts w:hint="eastAsia" w:ascii="仿宋" w:hAnsi="仿宋" w:eastAsia="仿宋" w:cs="仿宋"/>
                <w:i w:val="0"/>
                <w:iCs w:val="0"/>
                <w:color w:val="000000"/>
                <w:kern w:val="0"/>
                <w:sz w:val="22"/>
                <w:szCs w:val="22"/>
                <w:u w:val="none"/>
                <w:lang w:val="en-US" w:eastAsia="zh-CN" w:bidi="ar"/>
              </w:rPr>
              <w:t>10</w:t>
            </w:r>
          </w:p>
        </w:tc>
        <w:tc>
          <w:tcPr>
            <w:tcW w:w="1686" w:type="dxa"/>
            <w:noWrap w:val="0"/>
            <w:vAlign w:val="center"/>
          </w:tcPr>
          <w:p w14:paraId="6EE0870D">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复印机</w:t>
            </w:r>
          </w:p>
        </w:tc>
        <w:tc>
          <w:tcPr>
            <w:tcW w:w="4194" w:type="dxa"/>
            <w:noWrap w:val="0"/>
            <w:vAlign w:val="center"/>
          </w:tcPr>
          <w:p w14:paraId="2199C5EF">
            <w:pPr>
              <w:keepNext w:val="0"/>
              <w:keepLines w:val="0"/>
              <w:widowControl/>
              <w:suppressLineNumbers w:val="0"/>
              <w:snapToGrid w:val="0"/>
              <w:jc w:val="both"/>
              <w:textAlignment w:val="center"/>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普通（备耗材）</w:t>
            </w:r>
          </w:p>
          <w:p w14:paraId="483AFB2A">
            <w:pPr>
              <w:keepNext w:val="0"/>
              <w:keepLines w:val="0"/>
              <w:widowControl/>
              <w:suppressLineNumbers w:val="0"/>
              <w:snapToGrid w:val="0"/>
              <w:jc w:val="both"/>
              <w:textAlignment w:val="center"/>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600MHzCPU,128MB内存，LCD显示屏，20ppm打印速度，重量不大于10KG，鼓粉一体，支持USB、有线网络、无线网络.</w:t>
            </w:r>
          </w:p>
        </w:tc>
        <w:tc>
          <w:tcPr>
            <w:tcW w:w="766" w:type="dxa"/>
            <w:noWrap w:val="0"/>
            <w:vAlign w:val="center"/>
          </w:tcPr>
          <w:p w14:paraId="5F62C8A9">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台</w:t>
            </w:r>
          </w:p>
        </w:tc>
        <w:tc>
          <w:tcPr>
            <w:tcW w:w="769" w:type="dxa"/>
            <w:noWrap w:val="0"/>
            <w:vAlign w:val="center"/>
          </w:tcPr>
          <w:p w14:paraId="0EF0EFB1">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085" w:type="dxa"/>
            <w:noWrap w:val="0"/>
            <w:vAlign w:val="center"/>
          </w:tcPr>
          <w:p w14:paraId="5C21990D">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7D4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97" w:type="dxa"/>
            <w:noWrap w:val="0"/>
            <w:vAlign w:val="center"/>
          </w:tcPr>
          <w:p w14:paraId="75F70E16">
            <w:pPr>
              <w:keepNext w:val="0"/>
              <w:keepLines w:val="0"/>
              <w:widowControl/>
              <w:suppressLineNumbers w:val="0"/>
              <w:snapToGrid w:val="0"/>
              <w:jc w:val="center"/>
              <w:textAlignment w:val="center"/>
              <w:rPr>
                <w:rFonts w:hint="eastAsia" w:ascii="仿宋" w:hAnsi="仿宋" w:eastAsia="仿宋" w:cs="仿宋"/>
                <w:color w:val="auto"/>
                <w:sz w:val="22"/>
                <w:szCs w:val="22"/>
                <w:highlight w:val="none"/>
                <w:lang w:val="en-US"/>
              </w:rPr>
            </w:pPr>
            <w:r>
              <w:rPr>
                <w:rFonts w:hint="eastAsia" w:ascii="仿宋" w:hAnsi="仿宋" w:eastAsia="仿宋" w:cs="仿宋"/>
                <w:i w:val="0"/>
                <w:iCs w:val="0"/>
                <w:color w:val="000000"/>
                <w:kern w:val="0"/>
                <w:sz w:val="22"/>
                <w:szCs w:val="22"/>
                <w:u w:val="none"/>
                <w:lang w:val="en-US" w:eastAsia="zh-CN" w:bidi="ar"/>
              </w:rPr>
              <w:t>11</w:t>
            </w:r>
          </w:p>
        </w:tc>
        <w:tc>
          <w:tcPr>
            <w:tcW w:w="1686" w:type="dxa"/>
            <w:noWrap w:val="0"/>
            <w:vAlign w:val="center"/>
          </w:tcPr>
          <w:p w14:paraId="24BC161E">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彩色打印机</w:t>
            </w:r>
          </w:p>
        </w:tc>
        <w:tc>
          <w:tcPr>
            <w:tcW w:w="4194" w:type="dxa"/>
            <w:noWrap w:val="0"/>
            <w:vAlign w:val="center"/>
          </w:tcPr>
          <w:p w14:paraId="64FCA67F">
            <w:pPr>
              <w:keepNext w:val="0"/>
              <w:keepLines w:val="0"/>
              <w:widowControl/>
              <w:suppressLineNumbers w:val="0"/>
              <w:snapToGrid w:val="0"/>
              <w:jc w:val="both"/>
              <w:textAlignment w:val="center"/>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用于打印证书（备耗材）;A4彩色打印，支持USB连接，64M内存，LED显示屏，4个硒鼓，640*640Dpi分辨率，重量不大于15KG。</w:t>
            </w:r>
          </w:p>
        </w:tc>
        <w:tc>
          <w:tcPr>
            <w:tcW w:w="766" w:type="dxa"/>
            <w:noWrap w:val="0"/>
            <w:vAlign w:val="center"/>
          </w:tcPr>
          <w:p w14:paraId="6FA6088D">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台</w:t>
            </w:r>
          </w:p>
        </w:tc>
        <w:tc>
          <w:tcPr>
            <w:tcW w:w="769" w:type="dxa"/>
            <w:noWrap w:val="0"/>
            <w:vAlign w:val="center"/>
          </w:tcPr>
          <w:p w14:paraId="78028EBD">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085" w:type="dxa"/>
            <w:noWrap w:val="0"/>
            <w:vAlign w:val="center"/>
          </w:tcPr>
          <w:p w14:paraId="7F978CA9">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8BB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97" w:type="dxa"/>
            <w:noWrap w:val="0"/>
            <w:vAlign w:val="center"/>
          </w:tcPr>
          <w:p w14:paraId="6B54D369">
            <w:pPr>
              <w:keepNext w:val="0"/>
              <w:keepLines w:val="0"/>
              <w:widowControl/>
              <w:suppressLineNumbers w:val="0"/>
              <w:snapToGrid w:val="0"/>
              <w:jc w:val="center"/>
              <w:textAlignment w:val="center"/>
              <w:rPr>
                <w:rFonts w:hint="eastAsia" w:ascii="仿宋" w:hAnsi="仿宋" w:eastAsia="仿宋" w:cs="仿宋"/>
                <w:color w:val="auto"/>
                <w:sz w:val="22"/>
                <w:szCs w:val="22"/>
                <w:highlight w:val="none"/>
                <w:lang w:val="en-US"/>
              </w:rPr>
            </w:pPr>
            <w:r>
              <w:rPr>
                <w:rFonts w:hint="eastAsia" w:ascii="仿宋" w:hAnsi="仿宋" w:eastAsia="仿宋" w:cs="仿宋"/>
                <w:i w:val="0"/>
                <w:iCs w:val="0"/>
                <w:color w:val="000000"/>
                <w:kern w:val="0"/>
                <w:sz w:val="22"/>
                <w:szCs w:val="22"/>
                <w:u w:val="none"/>
                <w:lang w:val="en-US" w:eastAsia="zh-CN" w:bidi="ar"/>
              </w:rPr>
              <w:t>12</w:t>
            </w:r>
          </w:p>
        </w:tc>
        <w:tc>
          <w:tcPr>
            <w:tcW w:w="1686" w:type="dxa"/>
            <w:noWrap w:val="0"/>
            <w:vAlign w:val="center"/>
          </w:tcPr>
          <w:p w14:paraId="6D07C90D">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速印机</w:t>
            </w:r>
          </w:p>
        </w:tc>
        <w:tc>
          <w:tcPr>
            <w:tcW w:w="4194" w:type="dxa"/>
            <w:noWrap w:val="0"/>
            <w:vAlign w:val="center"/>
          </w:tcPr>
          <w:p w14:paraId="3319623C">
            <w:pPr>
              <w:keepNext w:val="0"/>
              <w:keepLines w:val="0"/>
              <w:widowControl/>
              <w:suppressLineNumbers w:val="0"/>
              <w:snapToGrid w:val="0"/>
              <w:jc w:val="both"/>
              <w:textAlignment w:val="center"/>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高速：每分钟出纸120张以上（备耗材）；600MHzCPU,128MB内存，LCD显示屏，支持USB、有线网络、无线网络</w:t>
            </w:r>
          </w:p>
        </w:tc>
        <w:tc>
          <w:tcPr>
            <w:tcW w:w="766" w:type="dxa"/>
            <w:noWrap w:val="0"/>
            <w:vAlign w:val="center"/>
          </w:tcPr>
          <w:p w14:paraId="5B4BD4BC">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台</w:t>
            </w:r>
          </w:p>
        </w:tc>
        <w:tc>
          <w:tcPr>
            <w:tcW w:w="769" w:type="dxa"/>
            <w:noWrap w:val="0"/>
            <w:vAlign w:val="center"/>
          </w:tcPr>
          <w:p w14:paraId="656880D8">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085" w:type="dxa"/>
            <w:noWrap w:val="0"/>
            <w:vAlign w:val="center"/>
          </w:tcPr>
          <w:p w14:paraId="65BA33EE">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650F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97" w:type="dxa"/>
            <w:noWrap w:val="0"/>
            <w:vAlign w:val="center"/>
          </w:tcPr>
          <w:p w14:paraId="7A4D4C9C">
            <w:pPr>
              <w:keepNext w:val="0"/>
              <w:keepLines w:val="0"/>
              <w:widowControl/>
              <w:suppressLineNumbers w:val="0"/>
              <w:snapToGrid w:val="0"/>
              <w:jc w:val="center"/>
              <w:textAlignment w:val="center"/>
              <w:rPr>
                <w:rFonts w:hint="eastAsia" w:ascii="仿宋" w:hAnsi="仿宋" w:eastAsia="仿宋" w:cs="仿宋"/>
                <w:color w:val="auto"/>
                <w:sz w:val="22"/>
                <w:szCs w:val="22"/>
                <w:highlight w:val="none"/>
                <w:lang w:val="en-US"/>
              </w:rPr>
            </w:pPr>
            <w:r>
              <w:rPr>
                <w:rFonts w:hint="eastAsia" w:ascii="仿宋" w:hAnsi="仿宋" w:eastAsia="仿宋" w:cs="仿宋"/>
                <w:i w:val="0"/>
                <w:iCs w:val="0"/>
                <w:color w:val="000000"/>
                <w:kern w:val="0"/>
                <w:sz w:val="22"/>
                <w:szCs w:val="22"/>
                <w:u w:val="none"/>
                <w:lang w:val="en-US" w:eastAsia="zh-CN" w:bidi="ar"/>
              </w:rPr>
              <w:t>13</w:t>
            </w:r>
          </w:p>
        </w:tc>
        <w:tc>
          <w:tcPr>
            <w:tcW w:w="1686" w:type="dxa"/>
            <w:noWrap w:val="0"/>
            <w:vAlign w:val="center"/>
          </w:tcPr>
          <w:p w14:paraId="432DAC5A">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数码相机和支架</w:t>
            </w:r>
          </w:p>
        </w:tc>
        <w:tc>
          <w:tcPr>
            <w:tcW w:w="4194" w:type="dxa"/>
            <w:noWrap w:val="0"/>
            <w:vAlign w:val="center"/>
          </w:tcPr>
          <w:p w14:paraId="5693F220">
            <w:pPr>
              <w:keepNext w:val="0"/>
              <w:keepLines w:val="0"/>
              <w:widowControl/>
              <w:suppressLineNumbers w:val="0"/>
              <w:snapToGrid w:val="0"/>
              <w:jc w:val="both"/>
              <w:textAlignment w:val="center"/>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综合性赛事用于下水和上水码头，另配相册(如有平板电脑此件可不需要)；数码相机：显示屏3寸，有效像素2000万，存储介质SD卡，传感器尺寸1寸，感观元器件CMOS</w:t>
            </w:r>
          </w:p>
        </w:tc>
        <w:tc>
          <w:tcPr>
            <w:tcW w:w="766" w:type="dxa"/>
            <w:noWrap w:val="0"/>
            <w:vAlign w:val="center"/>
          </w:tcPr>
          <w:p w14:paraId="5297B44F">
            <w:pPr>
              <w:keepNext w:val="0"/>
              <w:keepLines w:val="0"/>
              <w:widowControl/>
              <w:suppressLineNumbers w:val="0"/>
              <w:snapToGrid w:val="0"/>
              <w:jc w:val="center"/>
              <w:textAlignment w:val="center"/>
              <w:rPr>
                <w:rFonts w:hint="eastAsia" w:ascii="仿宋" w:hAnsi="仿宋" w:eastAsia="仿宋" w:cs="仿宋"/>
                <w:color w:val="auto"/>
                <w:sz w:val="22"/>
                <w:szCs w:val="22"/>
                <w:highlight w:val="none"/>
              </w:rPr>
            </w:pPr>
            <w:r>
              <w:rPr>
                <w:rFonts w:hint="eastAsia" w:ascii="仿宋" w:hAnsi="仿宋" w:eastAsia="仿宋" w:cs="仿宋"/>
                <w:i w:val="0"/>
                <w:iCs w:val="0"/>
                <w:color w:val="000000"/>
                <w:kern w:val="0"/>
                <w:sz w:val="22"/>
                <w:szCs w:val="22"/>
                <w:u w:val="none"/>
                <w:lang w:val="en-US" w:eastAsia="zh-CN" w:bidi="ar"/>
              </w:rPr>
              <w:t>台</w:t>
            </w:r>
          </w:p>
        </w:tc>
        <w:tc>
          <w:tcPr>
            <w:tcW w:w="769" w:type="dxa"/>
            <w:noWrap w:val="0"/>
            <w:vAlign w:val="center"/>
          </w:tcPr>
          <w:p w14:paraId="709B3618">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085" w:type="dxa"/>
            <w:noWrap w:val="0"/>
            <w:vAlign w:val="center"/>
          </w:tcPr>
          <w:p w14:paraId="3D23ADD9">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1EDD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97" w:type="dxa"/>
            <w:noWrap w:val="0"/>
            <w:vAlign w:val="center"/>
          </w:tcPr>
          <w:p w14:paraId="1AC29973">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1686" w:type="dxa"/>
            <w:noWrap w:val="0"/>
            <w:vAlign w:val="center"/>
          </w:tcPr>
          <w:p w14:paraId="736CC191">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笔记本电脑</w:t>
            </w:r>
          </w:p>
        </w:tc>
        <w:tc>
          <w:tcPr>
            <w:tcW w:w="4194" w:type="dxa"/>
            <w:noWrap w:val="0"/>
            <w:vAlign w:val="center"/>
          </w:tcPr>
          <w:p w14:paraId="6485CF6B">
            <w:pPr>
              <w:keepNext w:val="0"/>
              <w:keepLines w:val="0"/>
              <w:widowControl/>
              <w:suppressLineNumbers w:val="0"/>
              <w:snapToGrid w:val="0"/>
              <w:jc w:val="both"/>
              <w:textAlignment w:val="center"/>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预装office办公软件；屏幕≥15.6英寸，内存不小于4G，硬盘不小于512G，重量不大于3KG。</w:t>
            </w:r>
          </w:p>
        </w:tc>
        <w:tc>
          <w:tcPr>
            <w:tcW w:w="766" w:type="dxa"/>
            <w:noWrap w:val="0"/>
            <w:vAlign w:val="center"/>
          </w:tcPr>
          <w:p w14:paraId="1CA74BF8">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台</w:t>
            </w:r>
          </w:p>
        </w:tc>
        <w:tc>
          <w:tcPr>
            <w:tcW w:w="769" w:type="dxa"/>
            <w:noWrap w:val="0"/>
            <w:vAlign w:val="center"/>
          </w:tcPr>
          <w:p w14:paraId="14C5B8E6">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085" w:type="dxa"/>
            <w:noWrap w:val="0"/>
            <w:vAlign w:val="center"/>
          </w:tcPr>
          <w:p w14:paraId="4BED11C7">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5E04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97" w:type="dxa"/>
            <w:noWrap w:val="0"/>
            <w:vAlign w:val="center"/>
          </w:tcPr>
          <w:p w14:paraId="1A1EFC99">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686" w:type="dxa"/>
            <w:noWrap w:val="0"/>
            <w:vAlign w:val="center"/>
          </w:tcPr>
          <w:p w14:paraId="32EA1B06">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成绩显示大屏</w:t>
            </w:r>
          </w:p>
        </w:tc>
        <w:tc>
          <w:tcPr>
            <w:tcW w:w="4194" w:type="dxa"/>
            <w:noWrap w:val="0"/>
            <w:vAlign w:val="center"/>
          </w:tcPr>
          <w:p w14:paraId="6AB0C3AC">
            <w:pPr>
              <w:pStyle w:val="8"/>
              <w:snapToGrid w:val="0"/>
              <w:spacing w:line="202" w:lineRule="auto"/>
              <w:ind w:left="42" w:leftChars="20" w:right="42" w:rightChars="2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即时成绩显示屏（数字）（国际比赛或高级别综合赛）；成绩显示大屏：连接计时记分设备</w:t>
            </w:r>
          </w:p>
          <w:p w14:paraId="067C7FAB">
            <w:pPr>
              <w:pStyle w:val="8"/>
              <w:snapToGrid w:val="0"/>
              <w:spacing w:line="202" w:lineRule="auto"/>
              <w:ind w:left="42" w:leftChars="20" w:right="42" w:rightChars="2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1.户外P3高清防水显示屏，刷新率3840Hz</w:t>
            </w:r>
          </w:p>
          <w:p w14:paraId="30ED5A2A">
            <w:pPr>
              <w:pStyle w:val="8"/>
              <w:snapToGrid w:val="0"/>
              <w:spacing w:line="202" w:lineRule="auto"/>
              <w:ind w:left="42" w:leftChars="20" w:right="42" w:rightChars="2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2.可显示视频，动画，文字，图像，还支持多种视频输入端口</w:t>
            </w:r>
          </w:p>
          <w:p w14:paraId="702BBDCF">
            <w:pPr>
              <w:pStyle w:val="8"/>
              <w:snapToGrid w:val="0"/>
              <w:spacing w:line="202" w:lineRule="auto"/>
              <w:ind w:left="42" w:leftChars="20" w:right="42" w:rightChars="2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3.采用16bit-4096级灰度技术，显示颜色达1670万种以上，支持24位真彩色模式，色彩还原精准且层次丰富</w:t>
            </w:r>
          </w:p>
          <w:p w14:paraId="0D5875B4">
            <w:pPr>
              <w:pStyle w:val="8"/>
              <w:snapToGrid w:val="0"/>
              <w:spacing w:line="202" w:lineRule="auto"/>
              <w:ind w:left="42" w:leftChars="20" w:right="42" w:rightChars="2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4.单个箱体500mm*1000mm，P3分辨率140000点/平方</w:t>
            </w:r>
          </w:p>
          <w:p w14:paraId="4DFEB08D">
            <w:pPr>
              <w:pStyle w:val="8"/>
              <w:snapToGrid w:val="0"/>
              <w:spacing w:line="202" w:lineRule="auto"/>
              <w:ind w:left="42" w:leftChars="20" w:right="42" w:rightChars="2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5.显示屏尺寸面积 12m*10m=120 平方米</w:t>
            </w:r>
          </w:p>
          <w:p w14:paraId="746C9172">
            <w:pPr>
              <w:pStyle w:val="8"/>
              <w:snapToGrid w:val="0"/>
              <w:spacing w:line="202" w:lineRule="auto"/>
              <w:ind w:left="42" w:leftChars="20" w:right="42" w:rightChars="2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6.处理器控台服务器及线材</w:t>
            </w:r>
          </w:p>
          <w:p w14:paraId="5AD3E048">
            <w:pPr>
              <w:keepNext w:val="0"/>
              <w:keepLines w:val="0"/>
              <w:widowControl/>
              <w:suppressLineNumbers w:val="0"/>
              <w:snapToGrid w:val="0"/>
              <w:jc w:val="both"/>
              <w:textAlignment w:val="center"/>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7.固定屏幕架子及配重水箱</w:t>
            </w:r>
          </w:p>
        </w:tc>
        <w:tc>
          <w:tcPr>
            <w:tcW w:w="766" w:type="dxa"/>
            <w:noWrap w:val="0"/>
            <w:vAlign w:val="center"/>
          </w:tcPr>
          <w:p w14:paraId="0EBBC978">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769" w:type="dxa"/>
            <w:noWrap w:val="0"/>
            <w:vAlign w:val="center"/>
          </w:tcPr>
          <w:p w14:paraId="215BBA70">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085" w:type="dxa"/>
            <w:noWrap w:val="0"/>
            <w:vAlign w:val="center"/>
          </w:tcPr>
          <w:p w14:paraId="4863B31D">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62F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97" w:type="dxa"/>
            <w:noWrap w:val="0"/>
            <w:vAlign w:val="center"/>
          </w:tcPr>
          <w:p w14:paraId="47146A93">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1686" w:type="dxa"/>
            <w:noWrap w:val="0"/>
            <w:vAlign w:val="center"/>
          </w:tcPr>
          <w:p w14:paraId="74403116">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电瓶车</w:t>
            </w:r>
          </w:p>
        </w:tc>
        <w:tc>
          <w:tcPr>
            <w:tcW w:w="4194" w:type="dxa"/>
            <w:noWrap w:val="0"/>
            <w:vAlign w:val="center"/>
          </w:tcPr>
          <w:p w14:paraId="316202AE">
            <w:pPr>
              <w:keepNext w:val="0"/>
              <w:keepLines w:val="0"/>
              <w:widowControl/>
              <w:suppressLineNumbers w:val="0"/>
              <w:snapToGrid w:val="0"/>
              <w:jc w:val="both"/>
              <w:textAlignment w:val="center"/>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8座，起点、竞赛2台，颁奖2台；免维护干电池，左右各有一个后视镜，内置智能充电器，满电自动断电，时速35KM/H左右，液晶仪表显示电量、电压、里程、车速、灯光信号，四轮油刹，刹车助力，灯光有近光、远光、后尾灯、转向灯、刹车灯。</w:t>
            </w:r>
          </w:p>
        </w:tc>
        <w:tc>
          <w:tcPr>
            <w:tcW w:w="766" w:type="dxa"/>
            <w:noWrap w:val="0"/>
            <w:vAlign w:val="center"/>
          </w:tcPr>
          <w:p w14:paraId="636A04D4">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辆</w:t>
            </w:r>
          </w:p>
        </w:tc>
        <w:tc>
          <w:tcPr>
            <w:tcW w:w="769" w:type="dxa"/>
            <w:noWrap w:val="0"/>
            <w:vAlign w:val="center"/>
          </w:tcPr>
          <w:p w14:paraId="6E5D7556">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085" w:type="dxa"/>
            <w:noWrap w:val="0"/>
            <w:vAlign w:val="center"/>
          </w:tcPr>
          <w:p w14:paraId="10E88FC3">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7FED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97" w:type="dxa"/>
            <w:noWrap w:val="0"/>
            <w:vAlign w:val="center"/>
          </w:tcPr>
          <w:p w14:paraId="212D41F8">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1686" w:type="dxa"/>
            <w:noWrap w:val="0"/>
            <w:vAlign w:val="center"/>
          </w:tcPr>
          <w:p w14:paraId="0E40D280">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小型摄像机</w:t>
            </w:r>
          </w:p>
        </w:tc>
        <w:tc>
          <w:tcPr>
            <w:tcW w:w="4194" w:type="dxa"/>
            <w:noWrap w:val="0"/>
            <w:vAlign w:val="center"/>
          </w:tcPr>
          <w:p w14:paraId="5D7BAB4B">
            <w:pPr>
              <w:pStyle w:val="8"/>
              <w:snapToGrid w:val="0"/>
              <w:spacing w:line="203" w:lineRule="auto"/>
              <w:ind w:left="42" w:leftChars="20" w:right="42" w:rightChars="2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6名航道裁判跟随比赛拍摄用，是提供运动员判罚的视频依据；</w:t>
            </w:r>
          </w:p>
          <w:p w14:paraId="7832C7E9">
            <w:pPr>
              <w:pStyle w:val="8"/>
              <w:snapToGrid w:val="0"/>
              <w:spacing w:line="203" w:lineRule="auto"/>
              <w:ind w:left="42" w:leftChars="20" w:right="42" w:rightChars="20"/>
              <w:jc w:val="both"/>
              <w:rPr>
                <w:rFonts w:hint="eastAsia" w:ascii="仿宋" w:hAnsi="仿宋" w:eastAsia="仿宋" w:cs="仿宋"/>
                <w:color w:val="auto"/>
                <w:spacing w:val="1"/>
                <w:kern w:val="2"/>
                <w:sz w:val="22"/>
                <w:szCs w:val="22"/>
                <w:lang w:val="en-US" w:eastAsia="zh-CN" w:bidi="ar-SA"/>
              </w:rPr>
            </w:pPr>
            <w:r>
              <w:rPr>
                <w:rFonts w:hint="eastAsia" w:ascii="仿宋" w:hAnsi="仿宋" w:eastAsia="仿宋" w:cs="仿宋"/>
                <w:color w:val="auto"/>
                <w:spacing w:val="1"/>
                <w:kern w:val="2"/>
                <w:sz w:val="22"/>
                <w:szCs w:val="22"/>
                <w:lang w:val="en-US" w:eastAsia="zh-CN" w:bidi="ar-SA"/>
              </w:rPr>
              <w:t>数码像素≥800万，屏幕尺寸3英寸，容量64GB，感光元件CMOS，支持有线传输，五轴防抖。</w:t>
            </w:r>
          </w:p>
          <w:p w14:paraId="4CB5CE13">
            <w:pPr>
              <w:keepNext w:val="0"/>
              <w:keepLines w:val="0"/>
              <w:widowControl/>
              <w:suppressLineNumbers w:val="0"/>
              <w:snapToGrid w:val="0"/>
              <w:jc w:val="both"/>
              <w:textAlignment w:val="center"/>
              <w:rPr>
                <w:rFonts w:hint="eastAsia" w:ascii="仿宋" w:hAnsi="仿宋" w:eastAsia="仿宋" w:cs="仿宋"/>
                <w:color w:val="auto"/>
                <w:spacing w:val="1"/>
                <w:kern w:val="2"/>
                <w:sz w:val="22"/>
                <w:szCs w:val="22"/>
                <w:lang w:val="en-US" w:eastAsia="zh-CN" w:bidi="ar-SA"/>
              </w:rPr>
            </w:pPr>
          </w:p>
        </w:tc>
        <w:tc>
          <w:tcPr>
            <w:tcW w:w="766" w:type="dxa"/>
            <w:noWrap w:val="0"/>
            <w:vAlign w:val="center"/>
          </w:tcPr>
          <w:p w14:paraId="1F2FF8F2">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769" w:type="dxa"/>
            <w:noWrap w:val="0"/>
            <w:vAlign w:val="center"/>
          </w:tcPr>
          <w:p w14:paraId="4BB6E2E2">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085" w:type="dxa"/>
            <w:noWrap w:val="0"/>
            <w:vAlign w:val="center"/>
          </w:tcPr>
          <w:p w14:paraId="19F4428F">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p>
        </w:tc>
      </w:tr>
      <w:tr w14:paraId="21B6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97" w:type="dxa"/>
            <w:noWrap w:val="0"/>
            <w:vAlign w:val="center"/>
          </w:tcPr>
          <w:p w14:paraId="1D08816F">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1686" w:type="dxa"/>
            <w:noWrap w:val="0"/>
            <w:vAlign w:val="center"/>
          </w:tcPr>
          <w:p w14:paraId="645A42AF">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移动显示屏</w:t>
            </w:r>
          </w:p>
        </w:tc>
        <w:tc>
          <w:tcPr>
            <w:tcW w:w="4194" w:type="dxa"/>
            <w:noWrap w:val="0"/>
            <w:vAlign w:val="center"/>
          </w:tcPr>
          <w:p w14:paraId="719126E4">
            <w:pPr>
              <w:keepNext w:val="0"/>
              <w:keepLines w:val="0"/>
              <w:widowControl/>
              <w:suppressLineNumbers w:val="0"/>
              <w:snapToGrid w:val="0"/>
              <w:jc w:val="both"/>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连接计时记分设备                                                                   1.户外P3高清防水显示屏，刷新率3840Hz</w:t>
            </w:r>
          </w:p>
          <w:p w14:paraId="2D132E33">
            <w:pPr>
              <w:keepNext w:val="0"/>
              <w:keepLines w:val="0"/>
              <w:widowControl/>
              <w:suppressLineNumbers w:val="0"/>
              <w:snapToGrid w:val="0"/>
              <w:jc w:val="both"/>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2.可显示视频，动画，文字，图像，还支持多种视频输入端口</w:t>
            </w:r>
          </w:p>
          <w:p w14:paraId="27DDE026">
            <w:pPr>
              <w:keepNext w:val="0"/>
              <w:keepLines w:val="0"/>
              <w:widowControl/>
              <w:suppressLineNumbers w:val="0"/>
              <w:snapToGrid w:val="0"/>
              <w:jc w:val="both"/>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3.采用16bit-4096级灰度技术，显示颜色达1670万种以上，支持24位真彩色模式，色彩还原精准且层次丰富</w:t>
            </w:r>
          </w:p>
          <w:p w14:paraId="3A435CF9">
            <w:pPr>
              <w:keepNext w:val="0"/>
              <w:keepLines w:val="0"/>
              <w:widowControl/>
              <w:suppressLineNumbers w:val="0"/>
              <w:snapToGrid w:val="0"/>
              <w:jc w:val="both"/>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4.单个箱体500mm*1000mm，P3分辨率140000点/平方</w:t>
            </w:r>
          </w:p>
          <w:p w14:paraId="73DF1D65">
            <w:pPr>
              <w:keepNext w:val="0"/>
              <w:keepLines w:val="0"/>
              <w:widowControl/>
              <w:suppressLineNumbers w:val="0"/>
              <w:snapToGrid w:val="0"/>
              <w:jc w:val="both"/>
              <w:textAlignment w:val="center"/>
              <w:rPr>
                <w:rFonts w:hint="eastAsia" w:ascii="仿宋" w:hAnsi="仿宋" w:eastAsia="仿宋" w:cs="仿宋"/>
                <w:color w:val="auto"/>
                <w:spacing w:val="1"/>
                <w:kern w:val="2"/>
                <w:sz w:val="22"/>
                <w:szCs w:val="22"/>
                <w:lang w:val="en-US" w:eastAsia="zh-CN" w:bidi="ar-SA"/>
              </w:rPr>
            </w:pPr>
            <w:r>
              <w:rPr>
                <w:rFonts w:hint="eastAsia" w:ascii="仿宋" w:hAnsi="仿宋" w:eastAsia="仿宋" w:cs="仿宋"/>
                <w:i w:val="0"/>
                <w:iCs w:val="0"/>
                <w:color w:val="000000"/>
                <w:kern w:val="0"/>
                <w:sz w:val="22"/>
                <w:szCs w:val="22"/>
                <w:highlight w:val="none"/>
                <w:u w:val="none"/>
                <w:lang w:val="en-US" w:eastAsia="zh-CN" w:bidi="ar"/>
              </w:rPr>
              <w:t>5.显示屏①尺寸面积 4m*3m=12 平方米</w:t>
            </w:r>
          </w:p>
        </w:tc>
        <w:tc>
          <w:tcPr>
            <w:tcW w:w="766" w:type="dxa"/>
            <w:noWrap w:val="0"/>
            <w:vAlign w:val="center"/>
          </w:tcPr>
          <w:p w14:paraId="6F639709">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769" w:type="dxa"/>
            <w:noWrap w:val="0"/>
            <w:vAlign w:val="center"/>
          </w:tcPr>
          <w:p w14:paraId="47F61346">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085" w:type="dxa"/>
            <w:noWrap w:val="0"/>
            <w:vAlign w:val="center"/>
          </w:tcPr>
          <w:p w14:paraId="349076D3">
            <w:pPr>
              <w:keepNext w:val="0"/>
              <w:keepLines w:val="0"/>
              <w:widowControl/>
              <w:suppressLineNumbers w:val="0"/>
              <w:snapToGrid w:val="0"/>
              <w:jc w:val="center"/>
              <w:textAlignment w:val="center"/>
              <w:rPr>
                <w:rFonts w:hint="eastAsia" w:ascii="仿宋" w:hAnsi="仿宋" w:eastAsia="仿宋" w:cs="仿宋"/>
                <w:i w:val="0"/>
                <w:iCs w:val="0"/>
                <w:color w:val="000000"/>
                <w:kern w:val="0"/>
                <w:sz w:val="22"/>
                <w:szCs w:val="22"/>
                <w:u w:val="none"/>
                <w:lang w:val="en-US" w:eastAsia="zh-CN" w:bidi="ar"/>
              </w:rPr>
            </w:pPr>
          </w:p>
        </w:tc>
      </w:tr>
    </w:tbl>
    <w:p w14:paraId="5B7493E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、项目要求</w:t>
      </w:r>
    </w:p>
    <w:p w14:paraId="60EF49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本项目租赁</w:t>
      </w:r>
      <w:r>
        <w:rPr>
          <w:rFonts w:hint="eastAsia" w:ascii="仿宋" w:hAnsi="仿宋" w:eastAsia="仿宋" w:cs="仿宋"/>
          <w:sz w:val="32"/>
          <w:szCs w:val="32"/>
          <w:lang w:val="en-US" w:eastAsia="zh-CN"/>
        </w:rPr>
        <w:t>器材</w:t>
      </w:r>
      <w:r>
        <w:rPr>
          <w:rFonts w:hint="eastAsia" w:ascii="仿宋" w:hAnsi="仿宋" w:eastAsia="仿宋" w:cs="仿宋"/>
          <w:sz w:val="32"/>
          <w:szCs w:val="32"/>
          <w:lang w:eastAsia="zh-CN"/>
        </w:rPr>
        <w:t>为专用比赛用品，在投标报价时应考虑为保证</w:t>
      </w:r>
      <w:r>
        <w:rPr>
          <w:rFonts w:hint="eastAsia" w:ascii="仿宋" w:hAnsi="仿宋" w:eastAsia="仿宋" w:cs="仿宋"/>
          <w:sz w:val="32"/>
          <w:szCs w:val="32"/>
          <w:lang w:val="en-US" w:eastAsia="zh-CN"/>
        </w:rPr>
        <w:t>比赛</w:t>
      </w:r>
      <w:r>
        <w:rPr>
          <w:rFonts w:hint="eastAsia" w:ascii="仿宋" w:hAnsi="仿宋" w:eastAsia="仿宋" w:cs="仿宋"/>
          <w:sz w:val="32"/>
          <w:szCs w:val="32"/>
          <w:lang w:eastAsia="zh-CN"/>
        </w:rPr>
        <w:t>正常进行所需要的相关易耗品、应急用品、保险费用及其他用品，包含在总价中，后期不予增加费用。</w:t>
      </w:r>
    </w:p>
    <w:p w14:paraId="26CC1A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维护服务：为比赛期间提供器材维护服务，能够做到随叫随到，保障赛事期间器材的正</w:t>
      </w:r>
      <w:bookmarkStart w:id="0" w:name="_GoBack"/>
      <w:bookmarkEnd w:id="0"/>
      <w:r>
        <w:rPr>
          <w:rFonts w:hint="eastAsia" w:ascii="仿宋" w:hAnsi="仿宋" w:eastAsia="仿宋" w:cs="仿宋"/>
          <w:sz w:val="32"/>
          <w:szCs w:val="32"/>
          <w:lang w:eastAsia="zh-CN"/>
        </w:rPr>
        <w:t>常使用。</w:t>
      </w:r>
    </w:p>
    <w:p w14:paraId="515ED0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驻场服务：提供赛事期间24小时全程保障服务，比赛期间实行专人安全应急保障制度，确保器材处于正常使用状态。</w:t>
      </w:r>
    </w:p>
    <w:p w14:paraId="2D4025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4</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中标供应商须保障与赛事相关的配套</w:t>
      </w:r>
      <w:r>
        <w:rPr>
          <w:rFonts w:hint="eastAsia" w:ascii="仿宋" w:hAnsi="仿宋" w:eastAsia="仿宋" w:cs="仿宋"/>
          <w:sz w:val="32"/>
          <w:szCs w:val="32"/>
          <w:lang w:val="en-US" w:eastAsia="zh-CN"/>
        </w:rPr>
        <w:t>设备</w:t>
      </w:r>
      <w:r>
        <w:rPr>
          <w:rFonts w:hint="eastAsia" w:ascii="仿宋" w:hAnsi="仿宋" w:eastAsia="仿宋" w:cs="仿宋"/>
          <w:sz w:val="32"/>
          <w:szCs w:val="32"/>
          <w:lang w:eastAsia="zh-CN"/>
        </w:rPr>
        <w:t>设施（包括采购人提供的与赛事相关的设备设施）正常使用，以保证赛事正常进行。</w:t>
      </w:r>
      <w:r>
        <w:rPr>
          <w:rFonts w:hint="eastAsia" w:ascii="仿宋" w:hAnsi="仿宋" w:eastAsia="仿宋" w:cs="仿宋"/>
          <w:sz w:val="32"/>
          <w:szCs w:val="32"/>
          <w:lang w:val="en-US" w:eastAsia="zh-CN"/>
        </w:rPr>
        <w:t>采购人有权根据赛事的实际情况对租赁具体开始日做相应调整，中标供应商无条件配合，本项目租赁总天数不变，租赁总金额不调整。在本项目过程中，中标供应商承担租赁物以及其派出人员的全部安全责任，采购人不承担租赁物毁损灭失的责任，采购人不承担中标供应商派出人员的人身与财产安全责任，中标供应商不得据此向采购人主张索赔。</w:t>
      </w:r>
    </w:p>
    <w:p w14:paraId="214966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（二）商务要求：</w:t>
      </w:r>
      <w:r>
        <w:rPr>
          <w:rFonts w:hint="eastAsia" w:ascii="仿宋" w:hAnsi="仿宋" w:eastAsia="仿宋" w:cs="仿宋"/>
          <w:sz w:val="32"/>
          <w:szCs w:val="32"/>
          <w:lang w:val="en-US" w:eastAsia="zh-CN"/>
        </w:rPr>
        <w:t>包括但不限于交付（实施）的时间（期限）和地点（范围），付款条件（进度和方式），包装和运输，售后服务，保险等。</w:t>
      </w:r>
    </w:p>
    <w:p w14:paraId="7879BB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1.租赁地点：广东省船艇训练中心</w:t>
      </w:r>
    </w:p>
    <w:p w14:paraId="0ABA22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2.租赁期限：2025年10月16日至2025年11月20日，中标供应商应在2025年10月15日前将完成本次租赁的所有器材的安装及测试，在本期服务结束后接到采购人通知后方可撤场；</w:t>
      </w:r>
    </w:p>
    <w:p w14:paraId="21E444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包装、保险及发运、保管要求</w:t>
      </w:r>
    </w:p>
    <w:p w14:paraId="1931F6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）器材的</w:t>
      </w:r>
      <w:r>
        <w:rPr>
          <w:rFonts w:hint="eastAsia" w:ascii="仿宋" w:hAnsi="仿宋" w:eastAsia="仿宋" w:cs="仿宋"/>
          <w:sz w:val="32"/>
          <w:szCs w:val="32"/>
          <w:lang w:val="en-US" w:eastAsia="zh-CN"/>
        </w:rPr>
        <w:t>外</w:t>
      </w:r>
      <w:r>
        <w:rPr>
          <w:rFonts w:hint="eastAsia" w:ascii="仿宋" w:hAnsi="仿宋" w:eastAsia="仿宋" w:cs="仿宋"/>
          <w:sz w:val="32"/>
          <w:szCs w:val="32"/>
          <w:lang w:eastAsia="zh-CN"/>
        </w:rPr>
        <w:t>包装均应有良好的防湿、防锈、防潮、防雨、防腐及防碰撞的措施。凡由于包装不良造成的损失和由此产生的费用均由中标供应商承担。</w:t>
      </w:r>
    </w:p>
    <w:p w14:paraId="29B9FE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）中标供应商负责器材到现场过程中的全部运输，包括装卸车、现场的搬运。</w:t>
      </w:r>
      <w:r>
        <w:rPr>
          <w:rFonts w:hint="eastAsia" w:ascii="仿宋" w:hAnsi="仿宋" w:eastAsia="仿宋" w:cs="仿宋"/>
          <w:sz w:val="32"/>
          <w:szCs w:val="32"/>
          <w:lang w:val="en-US" w:eastAsia="zh-CN"/>
        </w:rPr>
        <w:t>相关费用由中标供应商负责。</w:t>
      </w:r>
    </w:p>
    <w:p w14:paraId="0C7639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）器材在现场的保管由中标供应商负责，直至</w:t>
      </w:r>
      <w:r>
        <w:rPr>
          <w:rFonts w:hint="eastAsia" w:ascii="仿宋" w:hAnsi="仿宋" w:eastAsia="仿宋" w:cs="仿宋"/>
          <w:sz w:val="32"/>
          <w:szCs w:val="32"/>
          <w:lang w:val="en-US" w:eastAsia="zh-CN"/>
        </w:rPr>
        <w:t>所有器材撤场。</w:t>
      </w:r>
    </w:p>
    <w:p w14:paraId="606A3B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（4）本项目合同履行期限内，器材的保险和服务人员的意外保险均由中标供应商负责，如出现器材故障、损坏产生的费用，保险赔付以外的费用由中标供应商负责。采购人不负任何责任，不支付任何费用。                                 </w:t>
      </w:r>
    </w:p>
    <w:p w14:paraId="464C55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（5）器材</w:t>
      </w:r>
      <w:r>
        <w:rPr>
          <w:rFonts w:hint="eastAsia" w:ascii="仿宋" w:hAnsi="仿宋" w:eastAsia="仿宋" w:cs="仿宋"/>
          <w:sz w:val="32"/>
          <w:szCs w:val="32"/>
          <w:lang w:eastAsia="zh-CN"/>
        </w:rPr>
        <w:t>的包装、保险、发运、</w:t>
      </w:r>
      <w:r>
        <w:rPr>
          <w:rFonts w:hint="eastAsia" w:ascii="仿宋" w:hAnsi="仿宋" w:eastAsia="仿宋" w:cs="仿宋"/>
          <w:sz w:val="32"/>
          <w:szCs w:val="32"/>
          <w:lang w:val="en-US" w:eastAsia="zh-CN"/>
        </w:rPr>
        <w:t>保管</w:t>
      </w:r>
      <w:r>
        <w:rPr>
          <w:rFonts w:hint="eastAsia" w:ascii="仿宋" w:hAnsi="仿宋" w:eastAsia="仿宋" w:cs="仿宋"/>
          <w:sz w:val="32"/>
          <w:szCs w:val="32"/>
          <w:lang w:eastAsia="zh-CN"/>
        </w:rPr>
        <w:t>等环节和费用均由中标供应商负责。</w:t>
      </w:r>
    </w:p>
    <w:p w14:paraId="465A42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4.租赁</w:t>
      </w:r>
      <w:r>
        <w:rPr>
          <w:rFonts w:hint="eastAsia" w:ascii="仿宋" w:hAnsi="仿宋" w:eastAsia="仿宋" w:cs="仿宋"/>
          <w:sz w:val="32"/>
          <w:szCs w:val="32"/>
          <w:lang w:eastAsia="zh-CN"/>
        </w:rPr>
        <w:t>服务</w:t>
      </w:r>
      <w:r>
        <w:rPr>
          <w:rFonts w:hint="eastAsia" w:ascii="仿宋" w:hAnsi="仿宋" w:eastAsia="仿宋" w:cs="仿宋"/>
          <w:sz w:val="32"/>
          <w:szCs w:val="32"/>
          <w:lang w:val="en-US" w:eastAsia="zh-CN"/>
        </w:rPr>
        <w:t>期间</w:t>
      </w:r>
      <w:r>
        <w:rPr>
          <w:rFonts w:hint="eastAsia" w:ascii="仿宋" w:hAnsi="仿宋" w:eastAsia="仿宋" w:cs="仿宋"/>
          <w:sz w:val="32"/>
          <w:szCs w:val="32"/>
          <w:lang w:eastAsia="zh-CN"/>
        </w:rPr>
        <w:t>要求</w:t>
      </w:r>
    </w:p>
    <w:p w14:paraId="18C82D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）在竞赛进行期间，</w:t>
      </w:r>
      <w:r>
        <w:rPr>
          <w:rFonts w:hint="eastAsia" w:ascii="仿宋" w:hAnsi="仿宋" w:eastAsia="仿宋" w:cs="仿宋"/>
          <w:sz w:val="32"/>
          <w:szCs w:val="32"/>
          <w:lang w:val="en-US" w:eastAsia="zh-CN"/>
        </w:rPr>
        <w:t>中标供应商</w:t>
      </w:r>
      <w:r>
        <w:rPr>
          <w:rFonts w:hint="eastAsia" w:ascii="仿宋" w:hAnsi="仿宋" w:eastAsia="仿宋" w:cs="仿宋"/>
          <w:sz w:val="32"/>
          <w:szCs w:val="32"/>
          <w:lang w:eastAsia="zh-CN"/>
        </w:rPr>
        <w:t>应全程配备至少</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名专业技术人员负责器材</w:t>
      </w:r>
      <w:r>
        <w:rPr>
          <w:rFonts w:hint="eastAsia" w:ascii="仿宋" w:hAnsi="仿宋" w:eastAsia="仿宋" w:cs="仿宋"/>
          <w:sz w:val="32"/>
          <w:szCs w:val="32"/>
          <w:lang w:val="en-US" w:eastAsia="zh-CN"/>
        </w:rPr>
        <w:t>维护</w:t>
      </w:r>
      <w:r>
        <w:rPr>
          <w:rFonts w:hint="eastAsia" w:ascii="仿宋" w:hAnsi="仿宋" w:eastAsia="仿宋" w:cs="仿宋"/>
          <w:sz w:val="32"/>
          <w:szCs w:val="32"/>
          <w:lang w:eastAsia="zh-CN"/>
        </w:rPr>
        <w:t>，并准备适当备用方案。</w:t>
      </w:r>
      <w:r>
        <w:rPr>
          <w:rFonts w:hint="eastAsia" w:ascii="仿宋" w:hAnsi="仿宋" w:eastAsia="仿宋" w:cs="仿宋"/>
          <w:sz w:val="32"/>
          <w:szCs w:val="32"/>
          <w:lang w:val="en-US" w:eastAsia="zh-CN"/>
        </w:rPr>
        <w:t>中标供应商承担技术人员的所有费用，包括但不限于服务期间的人工费、食宿、往返交通费等费用。</w:t>
      </w:r>
    </w:p>
    <w:p w14:paraId="4B9C6A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（2）中标供应商应根据竞赛需求，在比赛过程中提供拆卸、安装和调试服务。中标供应商应</w:t>
      </w:r>
      <w:r>
        <w:rPr>
          <w:rFonts w:hint="eastAsia" w:ascii="仿宋" w:hAnsi="仿宋" w:eastAsia="仿宋" w:cs="仿宋"/>
          <w:sz w:val="32"/>
          <w:szCs w:val="32"/>
          <w:lang w:eastAsia="zh-CN"/>
        </w:rPr>
        <w:t>安排足够的专业技术人员全程负责，并保证器材安装后调试至符合竞赛需求的状态。</w:t>
      </w:r>
      <w:r>
        <w:rPr>
          <w:rFonts w:hint="eastAsia" w:ascii="仿宋" w:hAnsi="仿宋" w:eastAsia="仿宋" w:cs="仿宋"/>
          <w:sz w:val="32"/>
          <w:szCs w:val="32"/>
          <w:lang w:val="en-US" w:eastAsia="zh-CN"/>
        </w:rPr>
        <w:t>中标供应商承担拆卸、安装和调试</w:t>
      </w:r>
      <w:r>
        <w:rPr>
          <w:rFonts w:hint="eastAsia" w:ascii="仿宋" w:hAnsi="仿宋" w:eastAsia="仿宋" w:cs="仿宋"/>
          <w:sz w:val="32"/>
          <w:szCs w:val="32"/>
          <w:lang w:eastAsia="zh-CN"/>
        </w:rPr>
        <w:t>过程中所产生的一切材料费、工具费、人工费、手续费、差旅费、食宿费和加班费等。</w:t>
      </w:r>
      <w:r>
        <w:rPr>
          <w:rFonts w:hint="eastAsia" w:ascii="仿宋" w:hAnsi="仿宋" w:eastAsia="仿宋" w:cs="仿宋"/>
          <w:sz w:val="32"/>
          <w:szCs w:val="32"/>
          <w:lang w:val="en-US" w:eastAsia="zh-CN"/>
        </w:rPr>
        <w:t>拆卸、安装和</w:t>
      </w:r>
      <w:r>
        <w:rPr>
          <w:rFonts w:hint="eastAsia" w:ascii="仿宋" w:hAnsi="仿宋" w:eastAsia="仿宋" w:cs="仿宋"/>
          <w:sz w:val="32"/>
          <w:szCs w:val="32"/>
          <w:lang w:eastAsia="zh-CN"/>
        </w:rPr>
        <w:t>调试期间所发现一切安全和质量事故及费用，均由中标供应商承担。</w:t>
      </w:r>
    </w:p>
    <w:p w14:paraId="06146C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）所有器材维修服务均为上门服务，即由</w:t>
      </w:r>
      <w:r>
        <w:rPr>
          <w:rFonts w:hint="eastAsia" w:ascii="仿宋" w:hAnsi="仿宋" w:eastAsia="仿宋" w:cs="仿宋"/>
          <w:sz w:val="32"/>
          <w:szCs w:val="32"/>
          <w:lang w:val="en-US" w:eastAsia="zh-CN"/>
        </w:rPr>
        <w:t>中标供应商指</w:t>
      </w:r>
      <w:r>
        <w:rPr>
          <w:rFonts w:hint="eastAsia" w:ascii="仿宋" w:hAnsi="仿宋" w:eastAsia="仿宋" w:cs="仿宋"/>
          <w:sz w:val="32"/>
          <w:szCs w:val="32"/>
          <w:lang w:eastAsia="zh-CN"/>
        </w:rPr>
        <w:t>派人员到</w:t>
      </w:r>
      <w:r>
        <w:rPr>
          <w:rFonts w:hint="eastAsia" w:ascii="仿宋" w:hAnsi="仿宋" w:eastAsia="仿宋" w:cs="仿宋"/>
          <w:sz w:val="32"/>
          <w:szCs w:val="32"/>
          <w:lang w:val="en-US" w:eastAsia="zh-CN"/>
        </w:rPr>
        <w:t>采购人</w:t>
      </w:r>
      <w:r>
        <w:rPr>
          <w:rFonts w:hint="eastAsia" w:ascii="仿宋" w:hAnsi="仿宋" w:eastAsia="仿宋" w:cs="仿宋"/>
          <w:sz w:val="32"/>
          <w:szCs w:val="32"/>
          <w:lang w:eastAsia="zh-CN"/>
        </w:rPr>
        <w:t>器材使用现场</w:t>
      </w:r>
      <w:r>
        <w:rPr>
          <w:rFonts w:hint="eastAsia" w:ascii="仿宋" w:hAnsi="仿宋" w:eastAsia="仿宋" w:cs="仿宋"/>
          <w:sz w:val="32"/>
          <w:szCs w:val="32"/>
          <w:lang w:val="en-US" w:eastAsia="zh-CN"/>
        </w:rPr>
        <w:t>进行安装、调试、现场技术指导及器材的使用方法指导等服务</w:t>
      </w:r>
      <w:r>
        <w:rPr>
          <w:rFonts w:hint="eastAsia" w:ascii="仿宋" w:hAnsi="仿宋" w:eastAsia="仿宋" w:cs="仿宋"/>
          <w:sz w:val="32"/>
          <w:szCs w:val="32"/>
          <w:lang w:eastAsia="zh-CN"/>
        </w:rPr>
        <w:t>，由此产生的一切费用均由</w:t>
      </w:r>
      <w:r>
        <w:rPr>
          <w:rFonts w:hint="eastAsia" w:ascii="仿宋" w:hAnsi="仿宋" w:eastAsia="仿宋" w:cs="仿宋"/>
          <w:sz w:val="32"/>
          <w:szCs w:val="32"/>
          <w:lang w:val="en-US" w:eastAsia="zh-CN"/>
        </w:rPr>
        <w:t>中标供应商</w:t>
      </w:r>
      <w:r>
        <w:rPr>
          <w:rFonts w:hint="eastAsia" w:ascii="仿宋" w:hAnsi="仿宋" w:eastAsia="仿宋" w:cs="仿宋"/>
          <w:sz w:val="32"/>
          <w:szCs w:val="32"/>
          <w:lang w:eastAsia="zh-CN"/>
        </w:rPr>
        <w:t>承担。</w:t>
      </w:r>
    </w:p>
    <w:p w14:paraId="0AEF9A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安装、调试</w:t>
      </w:r>
    </w:p>
    <w:p w14:paraId="6C83CA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中标供应商须</w:t>
      </w:r>
      <w:r>
        <w:rPr>
          <w:rFonts w:hint="eastAsia" w:ascii="仿宋" w:hAnsi="仿宋" w:eastAsia="仿宋" w:cs="仿宋"/>
          <w:sz w:val="32"/>
          <w:szCs w:val="32"/>
          <w:lang w:val="en-US" w:eastAsia="zh-CN"/>
        </w:rPr>
        <w:t>应在10月15日前将完成本次租赁的所有器材的安装及测试</w:t>
      </w:r>
      <w:r>
        <w:rPr>
          <w:rFonts w:hint="eastAsia" w:ascii="仿宋" w:hAnsi="仿宋" w:eastAsia="仿宋" w:cs="仿宋"/>
          <w:sz w:val="32"/>
          <w:szCs w:val="32"/>
          <w:lang w:eastAsia="zh-CN"/>
        </w:rPr>
        <w:t xml:space="preserve">。若安装场地需要进行适应性调整，发生的费用均包含在本项目投标报价中，采购人不再另行支付。 </w:t>
      </w:r>
    </w:p>
    <w:p w14:paraId="304FCA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 xml:space="preserve">中标供应商为本项目提供租赁器材厂家或者厂家授权的售后服务商的安装调试服务。依照招标文件的要求和投标文件的承诺，将器材、系统安装并调试至正常运行的状态。 </w:t>
      </w:r>
    </w:p>
    <w:p w14:paraId="0BFFE6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 xml:space="preserve">租赁器材安装时需对采购人各安装场地内的其他器材、设施有良好保护措施。 </w:t>
      </w:r>
    </w:p>
    <w:p w14:paraId="4E9316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 xml:space="preserve">安装调试过程中所产生的一切材料费、工具费、人工费、手续费、差旅费、食宿费和加班费等，均包含在本项目投标报价中，采购人不再另行支付。安装调试期间所发现一切安全和质量事故及费用，均由中标供应商承担。 </w:t>
      </w:r>
    </w:p>
    <w:p w14:paraId="62661F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 xml:space="preserve">安装调试工作开展前，中标供应商应做好安装调试计划，与采购人取得联系，以便采购人安排验货和配合安装调试等工作。中标供应商需加强安装调试过程的组织管理，所有安装调试人员须遵守文明安全操作的有关规章制度。 </w:t>
      </w:r>
    </w:p>
    <w:p w14:paraId="087B6D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中标供应商必须依照招标文件的要求和投标文件的承诺，将器材、系统安装并调试至正常运行的状态。</w:t>
      </w:r>
    </w:p>
    <w:p w14:paraId="2FA527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质量保证及售后服务</w:t>
      </w:r>
    </w:p>
    <w:p w14:paraId="381B71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中标供应商</w:t>
      </w:r>
      <w:r>
        <w:rPr>
          <w:rFonts w:hint="eastAsia" w:ascii="仿宋" w:hAnsi="仿宋" w:eastAsia="仿宋" w:cs="仿宋"/>
          <w:sz w:val="32"/>
          <w:szCs w:val="32"/>
        </w:rPr>
        <w:t>保证所租赁</w:t>
      </w:r>
      <w:r>
        <w:rPr>
          <w:rFonts w:hint="eastAsia" w:ascii="仿宋" w:hAnsi="仿宋" w:eastAsia="仿宋" w:cs="仿宋"/>
          <w:sz w:val="32"/>
          <w:szCs w:val="32"/>
          <w:lang w:eastAsia="zh-CN"/>
        </w:rPr>
        <w:t>器材的</w:t>
      </w:r>
      <w:r>
        <w:rPr>
          <w:rFonts w:hint="eastAsia" w:ascii="仿宋" w:hAnsi="仿宋" w:eastAsia="仿宋" w:cs="仿宋"/>
          <w:sz w:val="32"/>
          <w:szCs w:val="32"/>
        </w:rPr>
        <w:t>质量、规格及技术特征符合</w:t>
      </w:r>
      <w:r>
        <w:rPr>
          <w:rFonts w:hint="eastAsia" w:ascii="仿宋" w:hAnsi="仿宋" w:eastAsia="仿宋" w:cs="仿宋"/>
          <w:sz w:val="32"/>
          <w:szCs w:val="32"/>
          <w:lang w:val="en-US" w:eastAsia="zh-CN"/>
        </w:rPr>
        <w:t>本项目招标文件用户需求书及</w:t>
      </w:r>
      <w:r>
        <w:rPr>
          <w:rFonts w:hint="eastAsia" w:ascii="仿宋" w:hAnsi="仿宋" w:eastAsia="仿宋" w:cs="仿宋"/>
          <w:sz w:val="32"/>
          <w:szCs w:val="32"/>
        </w:rPr>
        <w:t>合同的要求。</w:t>
      </w:r>
      <w:r>
        <w:rPr>
          <w:rFonts w:hint="eastAsia" w:ascii="仿宋" w:hAnsi="仿宋" w:eastAsia="仿宋" w:cs="仿宋"/>
          <w:sz w:val="32"/>
          <w:szCs w:val="32"/>
          <w:lang w:eastAsia="zh-CN"/>
        </w:rPr>
        <w:t>中标供应商</w:t>
      </w:r>
      <w:r>
        <w:rPr>
          <w:rFonts w:hint="eastAsia" w:ascii="仿宋" w:hAnsi="仿宋" w:eastAsia="仿宋" w:cs="仿宋"/>
          <w:sz w:val="32"/>
          <w:szCs w:val="32"/>
        </w:rPr>
        <w:t>应</w:t>
      </w:r>
      <w:r>
        <w:rPr>
          <w:rFonts w:hint="eastAsia" w:ascii="仿宋" w:hAnsi="仿宋" w:eastAsia="仿宋" w:cs="仿宋"/>
          <w:sz w:val="32"/>
          <w:szCs w:val="32"/>
          <w:lang w:val="en-US" w:eastAsia="zh-CN"/>
        </w:rPr>
        <w:t>在现场配备足够的零配件，以保证采购人比赛期间的正常进行。</w:t>
      </w:r>
    </w:p>
    <w:p w14:paraId="46A0D7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器材</w:t>
      </w:r>
      <w:r>
        <w:rPr>
          <w:rFonts w:hint="eastAsia" w:ascii="仿宋" w:hAnsi="仿宋" w:eastAsia="仿宋" w:cs="仿宋"/>
          <w:sz w:val="32"/>
          <w:szCs w:val="32"/>
        </w:rPr>
        <w:t>所配软件为最新版本，服务期内</w:t>
      </w:r>
      <w:r>
        <w:rPr>
          <w:rFonts w:hint="eastAsia" w:ascii="仿宋" w:hAnsi="仿宋" w:eastAsia="仿宋" w:cs="仿宋"/>
          <w:sz w:val="32"/>
          <w:szCs w:val="32"/>
          <w:lang w:eastAsia="zh-CN"/>
        </w:rPr>
        <w:t>中标供应商</w:t>
      </w:r>
      <w:r>
        <w:rPr>
          <w:rFonts w:hint="eastAsia" w:ascii="仿宋" w:hAnsi="仿宋" w:eastAsia="仿宋" w:cs="仿宋"/>
          <w:sz w:val="32"/>
          <w:szCs w:val="32"/>
        </w:rPr>
        <w:t>需协调租赁</w:t>
      </w:r>
      <w:r>
        <w:rPr>
          <w:rFonts w:hint="eastAsia" w:ascii="仿宋" w:hAnsi="仿宋" w:eastAsia="仿宋" w:cs="仿宋"/>
          <w:sz w:val="32"/>
          <w:szCs w:val="32"/>
          <w:lang w:eastAsia="zh-CN"/>
        </w:rPr>
        <w:t>器材</w:t>
      </w:r>
      <w:r>
        <w:rPr>
          <w:rFonts w:hint="eastAsia" w:ascii="仿宋" w:hAnsi="仿宋" w:eastAsia="仿宋" w:cs="仿宋"/>
          <w:sz w:val="32"/>
          <w:szCs w:val="32"/>
        </w:rPr>
        <w:t>厂家或者厂家授权的售后服务商及时为采购人提供升级服务</w:t>
      </w:r>
      <w:r>
        <w:rPr>
          <w:rFonts w:hint="eastAsia" w:ascii="仿宋" w:hAnsi="仿宋" w:eastAsia="仿宋" w:cs="仿宋"/>
          <w:sz w:val="32"/>
          <w:szCs w:val="32"/>
          <w:lang w:val="en-US" w:eastAsia="zh-CN"/>
        </w:rPr>
        <w:t>及</w:t>
      </w:r>
      <w:r>
        <w:rPr>
          <w:rFonts w:hint="eastAsia" w:ascii="仿宋" w:hAnsi="仿宋" w:eastAsia="仿宋" w:cs="仿宋"/>
          <w:sz w:val="32"/>
          <w:szCs w:val="32"/>
        </w:rPr>
        <w:t>更新操作指导。服务期内非采购人的人为原因而出现产品质量及安装问题，由</w:t>
      </w:r>
      <w:r>
        <w:rPr>
          <w:rFonts w:hint="eastAsia" w:ascii="仿宋" w:hAnsi="仿宋" w:eastAsia="仿宋" w:cs="仿宋"/>
          <w:sz w:val="32"/>
          <w:szCs w:val="32"/>
          <w:lang w:eastAsia="zh-CN"/>
        </w:rPr>
        <w:t>中标供应商</w:t>
      </w:r>
      <w:r>
        <w:rPr>
          <w:rFonts w:hint="eastAsia" w:ascii="仿宋" w:hAnsi="仿宋" w:eastAsia="仿宋" w:cs="仿宋"/>
          <w:sz w:val="32"/>
          <w:szCs w:val="32"/>
        </w:rPr>
        <w:t xml:space="preserve">负责包修、包换或包退，并承担因此而产生的一切费用。 </w:t>
      </w:r>
    </w:p>
    <w:p w14:paraId="363415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服务期内，</w:t>
      </w:r>
      <w:r>
        <w:rPr>
          <w:rFonts w:hint="eastAsia" w:ascii="仿宋" w:hAnsi="仿宋" w:eastAsia="仿宋" w:cs="仿宋"/>
          <w:sz w:val="32"/>
          <w:szCs w:val="32"/>
          <w:lang w:eastAsia="zh-CN"/>
        </w:rPr>
        <w:t>中标供应商</w:t>
      </w:r>
      <w:r>
        <w:rPr>
          <w:rFonts w:hint="eastAsia" w:ascii="仿宋" w:hAnsi="仿宋" w:eastAsia="仿宋" w:cs="仿宋"/>
          <w:sz w:val="32"/>
          <w:szCs w:val="32"/>
        </w:rPr>
        <w:t>提供租赁</w:t>
      </w:r>
      <w:r>
        <w:rPr>
          <w:rFonts w:hint="eastAsia" w:ascii="仿宋" w:hAnsi="仿宋" w:eastAsia="仿宋" w:cs="仿宋"/>
          <w:sz w:val="32"/>
          <w:szCs w:val="32"/>
          <w:lang w:eastAsia="zh-CN"/>
        </w:rPr>
        <w:t>器材</w:t>
      </w:r>
      <w:r>
        <w:rPr>
          <w:rFonts w:hint="eastAsia" w:ascii="仿宋" w:hAnsi="仿宋" w:eastAsia="仿宋" w:cs="仿宋"/>
          <w:sz w:val="32"/>
          <w:szCs w:val="32"/>
        </w:rPr>
        <w:t>厂家或者厂家授权的售后服务商的保修保养服务。包含的</w:t>
      </w:r>
      <w:r>
        <w:rPr>
          <w:rFonts w:hint="eastAsia" w:ascii="仿宋" w:hAnsi="仿宋" w:eastAsia="仿宋" w:cs="仿宋"/>
          <w:sz w:val="32"/>
          <w:szCs w:val="32"/>
          <w:lang w:eastAsia="zh-CN"/>
        </w:rPr>
        <w:t>器材</w:t>
      </w:r>
      <w:r>
        <w:rPr>
          <w:rFonts w:hint="eastAsia" w:ascii="仿宋" w:hAnsi="仿宋" w:eastAsia="仿宋" w:cs="仿宋"/>
          <w:sz w:val="32"/>
          <w:szCs w:val="32"/>
        </w:rPr>
        <w:t xml:space="preserve">日常维护保养以及故障维修、零配件更换及其他维护保修保养服务，以上费用包含在投标报价中，采购人不再另行支付。 </w:t>
      </w:r>
    </w:p>
    <w:p w14:paraId="3ACB87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标供应商应保证所提供器材表面无划损、无任何缺陷隐患，并在使用时不会侵犯任何第三方的知识产权及其他权利，如任何第三方提出侵权指控，中标供应商须独自与第三方交涉并承担可能发生的一切法律和经济责任，与采购人无关。</w:t>
      </w:r>
    </w:p>
    <w:p w14:paraId="6A98AF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7.验收</w:t>
      </w:r>
    </w:p>
    <w:p w14:paraId="5C3B2E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（1）验收标准</w:t>
      </w:r>
    </w:p>
    <w:p w14:paraId="2D5487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器材若有国家标准按照国家标准验收，若无国家标准按行业标准验收，无侵权行为、表面无划损、无任何缺陷隐患，在中国境内可依常规安全合法使用。采购人组成验收小组按有关规定、规范进行验收，必要时邀请相关的专业人员或机构参与验收。</w:t>
      </w:r>
    </w:p>
    <w:p w14:paraId="7C73EB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验收流程</w:t>
      </w:r>
    </w:p>
    <w:p w14:paraId="5DBE14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①</w:t>
      </w:r>
      <w:r>
        <w:rPr>
          <w:rFonts w:hint="eastAsia" w:ascii="仿宋" w:hAnsi="仿宋" w:eastAsia="仿宋" w:cs="仿宋"/>
          <w:sz w:val="32"/>
          <w:szCs w:val="32"/>
          <w:lang w:eastAsia="zh-CN"/>
        </w:rPr>
        <w:t>交付验收：中标供应商按本项目招标文件用户需求书及合同约定交付租赁物后，向采购人申请验收，采购人收到《交付签收清单》后，根据本项目招标文件用户需求书及合同约定进行验收。验收通过的，采购人出具验收通过文件。</w:t>
      </w:r>
    </w:p>
    <w:p w14:paraId="32E690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②撤场验收：租赁期限届满中标供应商完成撤场后，中标供应商清点后在《返还签收清单》上签名确认。完成撤场后，向采购人申请验收，采购人收到经确认的《返还签收清单》后，根据本项目招标文件用户需求书及合同约定进行验收。验收通过的，采购人出具验收通过文件。</w:t>
      </w:r>
    </w:p>
    <w:p w14:paraId="44A389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w:t>
      </w:r>
      <w:r>
        <w:rPr>
          <w:rFonts w:hint="eastAsia" w:ascii="仿宋" w:hAnsi="仿宋" w:eastAsia="仿宋" w:cs="仿宋"/>
          <w:sz w:val="32"/>
          <w:szCs w:val="32"/>
          <w:lang w:eastAsia="zh-CN"/>
        </w:rPr>
        <w:t>验收未通过的，采购人有权要求中标供应商重新交付或按照采购人要求采取补救措施等，相关费用由中标供应商承担。如仍不合格的，采购人除有权要求中标供应商承担相应的违约责任外，还有权解除合同，不予支付合同未付价款，并要求中标供应商返还已支付的全部价款。</w:t>
      </w:r>
    </w:p>
    <w:p w14:paraId="2039B0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保密要求</w:t>
      </w:r>
    </w:p>
    <w:p w14:paraId="642D76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）中标供应商承认并同意，中标供应商因双方签署及正在磋商的包括但不限于本</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合同、其他协议、文件而获得的，或中标供应商因履行本</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所接触的或知晓的采购人工作内容（包括但不限于采购人在筹办十五运会和残特奥会过程中处理的有关国家、省、市各类信息，各类技术性资料，以及采购人为完成本项目提供的任何其他信息资料并且在提供时未说明是公开信息的）均为本</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约定保密信息。</w:t>
      </w:r>
    </w:p>
    <w:p w14:paraId="7DE8A5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未经采购人书面同意，中标供应商不得以任何方式公布、发表、公开、披露、散播、复制保密信息的任何部分，或对其加以任何形式的利用或使用。中标供应商保证采取有效的保密措施以避免泄露给任何第三方。</w:t>
      </w:r>
    </w:p>
    <w:p w14:paraId="402565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）本项目履行完毕后，中标供应商须归还采购人提供的本项目相关的所有数据和文件（含电子文档），不得擅自备份。</w:t>
      </w:r>
    </w:p>
    <w:p w14:paraId="08C7EB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）中标供应商履行保密义务的期限为长期，不因本合同的解除、终止、部分无效而消灭。</w:t>
      </w:r>
    </w:p>
    <w:p w14:paraId="796629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反隐性营销条款</w:t>
      </w:r>
    </w:p>
    <w:p w14:paraId="1D4CC1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未经采购人书面同意，中标供应商及其关联方不得从事下列行为：</w:t>
      </w:r>
    </w:p>
    <w:p w14:paraId="15C50D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）通过任何媒体（包括但不限于报纸、期刊、电视、网络、宣传品等，下同）以任何方式对外宣传本项目；</w:t>
      </w:r>
    </w:p>
    <w:p w14:paraId="021BB8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）通过任何媒体以任何方式宣传中标供应商或者其关联方是采购人的代理商、服务商、供应商、赞助商等；</w:t>
      </w:r>
    </w:p>
    <w:p w14:paraId="124CDE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）通过任何媒体以任何方式宣传中标供应商或者其关联方与采购人、十五运会和残特奥会存在委托、代理、供货、服务、赞助、合作、伙伴等任何关系；</w:t>
      </w:r>
    </w:p>
    <w:p w14:paraId="75116A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）以任何方式使用采购人、十五运会和残特奥会的名称、 会徽、徽记、标识、吉祥物、理念等标志。中标供应商及其关联方的工作人员、雇员等有上述行为的，视为中标供应商及其关联方的行为，采购人有权直接要求中标供应商承担责任。</w:t>
      </w:r>
    </w:p>
    <w:sectPr>
      <w:footerReference r:id="rId3" w:type="default"/>
      <w:pgSz w:w="11906" w:h="16838"/>
      <w:pgMar w:top="1327" w:right="1349" w:bottom="1270" w:left="1406"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DA9A065-1EBB-40B9-9803-486702B0B1BA}"/>
  </w:font>
  <w:font w:name="黑体">
    <w:panose1 w:val="02010609060101010101"/>
    <w:charset w:val="86"/>
    <w:family w:val="auto"/>
    <w:pitch w:val="default"/>
    <w:sig w:usb0="800002BF" w:usb1="38CF7CFA" w:usb2="00000016" w:usb3="00000000" w:csb0="00040001" w:csb1="00000000"/>
    <w:embedRegular r:id="rId2" w:fontKey="{8D824EB0-8CFF-4FA7-8D63-AB26EBF256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7AC467D6-A68F-424D-A14A-7B308165D336}"/>
  </w:font>
  <w:font w:name="仿宋">
    <w:panose1 w:val="02010609060101010101"/>
    <w:charset w:val="86"/>
    <w:family w:val="auto"/>
    <w:pitch w:val="default"/>
    <w:sig w:usb0="800002BF" w:usb1="38CF7CFA" w:usb2="00000016" w:usb3="00000000" w:csb0="00040001" w:csb1="00000000"/>
    <w:embedRegular r:id="rId4" w:fontKey="{049598FD-B249-4ECA-97A8-5A7BF8584D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A4AA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4C4C2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14C4C2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74736"/>
    <w:rsid w:val="00D076AC"/>
    <w:rsid w:val="01DC477B"/>
    <w:rsid w:val="058E2BD7"/>
    <w:rsid w:val="05A32947"/>
    <w:rsid w:val="06297694"/>
    <w:rsid w:val="0B1F2030"/>
    <w:rsid w:val="0B6A42C7"/>
    <w:rsid w:val="0C6E41AC"/>
    <w:rsid w:val="0F5E5449"/>
    <w:rsid w:val="11DB031D"/>
    <w:rsid w:val="147A61A9"/>
    <w:rsid w:val="1542409B"/>
    <w:rsid w:val="15674B2D"/>
    <w:rsid w:val="159C6133"/>
    <w:rsid w:val="16056777"/>
    <w:rsid w:val="16E212A1"/>
    <w:rsid w:val="1AD611BB"/>
    <w:rsid w:val="1F146FA7"/>
    <w:rsid w:val="204F0B5E"/>
    <w:rsid w:val="21FD3907"/>
    <w:rsid w:val="22534DD2"/>
    <w:rsid w:val="23C864C0"/>
    <w:rsid w:val="24CF1271"/>
    <w:rsid w:val="28FD0FCB"/>
    <w:rsid w:val="297332CA"/>
    <w:rsid w:val="29A22DDE"/>
    <w:rsid w:val="2A955869"/>
    <w:rsid w:val="2A974736"/>
    <w:rsid w:val="2CAA3CCB"/>
    <w:rsid w:val="2E996D34"/>
    <w:rsid w:val="31026884"/>
    <w:rsid w:val="32186CBD"/>
    <w:rsid w:val="37F740D5"/>
    <w:rsid w:val="3B152F7B"/>
    <w:rsid w:val="3BF79948"/>
    <w:rsid w:val="3C2506B9"/>
    <w:rsid w:val="3C8A11F4"/>
    <w:rsid w:val="3D9848F1"/>
    <w:rsid w:val="3FCE0BC8"/>
    <w:rsid w:val="42EE0D6F"/>
    <w:rsid w:val="431A019F"/>
    <w:rsid w:val="43430AE7"/>
    <w:rsid w:val="452E72F7"/>
    <w:rsid w:val="452F5E79"/>
    <w:rsid w:val="479111A6"/>
    <w:rsid w:val="496164DE"/>
    <w:rsid w:val="4A6E2C61"/>
    <w:rsid w:val="4B997D17"/>
    <w:rsid w:val="4CD906A3"/>
    <w:rsid w:val="4D573E2A"/>
    <w:rsid w:val="508741D6"/>
    <w:rsid w:val="51AE4036"/>
    <w:rsid w:val="521C11F4"/>
    <w:rsid w:val="540203DC"/>
    <w:rsid w:val="54AA1893"/>
    <w:rsid w:val="554E2794"/>
    <w:rsid w:val="587D5338"/>
    <w:rsid w:val="596013A4"/>
    <w:rsid w:val="59987AAC"/>
    <w:rsid w:val="5B1E74C2"/>
    <w:rsid w:val="5BB3717E"/>
    <w:rsid w:val="5DD40BD5"/>
    <w:rsid w:val="5FBCBDA7"/>
    <w:rsid w:val="6136238C"/>
    <w:rsid w:val="61FF6C09"/>
    <w:rsid w:val="62582064"/>
    <w:rsid w:val="63E24CC0"/>
    <w:rsid w:val="64A13F4C"/>
    <w:rsid w:val="64D075A7"/>
    <w:rsid w:val="65C94D98"/>
    <w:rsid w:val="66FFB75D"/>
    <w:rsid w:val="67893C57"/>
    <w:rsid w:val="6AFF37E7"/>
    <w:rsid w:val="6DDA4639"/>
    <w:rsid w:val="6DF23EA9"/>
    <w:rsid w:val="6DF57072"/>
    <w:rsid w:val="6EC6746E"/>
    <w:rsid w:val="6EE64D7B"/>
    <w:rsid w:val="710F4A60"/>
    <w:rsid w:val="71B0508F"/>
    <w:rsid w:val="73865F7C"/>
    <w:rsid w:val="76C76ED9"/>
    <w:rsid w:val="7E2678C9"/>
    <w:rsid w:val="7EF1926B"/>
    <w:rsid w:val="BDFB78BB"/>
    <w:rsid w:val="CB751CB0"/>
    <w:rsid w:val="D54F9F78"/>
    <w:rsid w:val="DBBFCD2F"/>
    <w:rsid w:val="E76DFC46"/>
    <w:rsid w:val="EE3F34C3"/>
    <w:rsid w:val="FFDE370E"/>
    <w:rsid w:val="FFF8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widowControl/>
      <w:spacing w:before="100" w:beforeLines="0" w:beforeAutospacing="1" w:after="100" w:afterLines="0" w:afterAutospacing="1"/>
      <w:jc w:val="left"/>
    </w:pPr>
    <w:rPr>
      <w:rFonts w:ascii="宋体" w:hAnsi="宋体"/>
      <w:kern w:val="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semiHidden/>
    <w:qFormat/>
    <w:uiPriority w:val="0"/>
    <w:rPr>
      <w:rFonts w:ascii="宋体" w:hAnsi="宋体" w:eastAsia="宋体" w:cs="宋体"/>
      <w:sz w:val="19"/>
      <w:szCs w:val="19"/>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character" w:customStyle="1" w:styleId="11">
    <w:name w:val="font21"/>
    <w:basedOn w:val="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5843</Words>
  <Characters>6512</Characters>
  <Lines>0</Lines>
  <Paragraphs>0</Paragraphs>
  <TotalTime>5</TotalTime>
  <ScaleCrop>false</ScaleCrop>
  <LinksUpToDate>false</LinksUpToDate>
  <CharactersWithSpaces>6696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2025-04-22T12:07:00Z</dcterms:created>
  <dc:creator>LQ</dc:creator>
  <cp:lastModifiedBy>公采</cp:lastModifiedBy>
  <cp:lastPrinted>2025-08-28T09:39:00Z</cp:lastPrinted>
  <dcterms:modified xsi:type="dcterms:W3CDTF">2025-08-29T10:11:47Z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D1755B596813460E9B1E3DAEBEBEE2A0_13</vt:lpwstr>
  </property>
  <property fmtid="{D5CDD505-2E9C-101B-9397-08002B2CF9AE}" pid="4" name="KSOTemplateDocerSaveRecord">
    <vt:lpwstr>eyJoZGlkIjoiOTg5OTFhMjVjZDBiNTQ0ZTkwYTUxMTMyMDk1MzZhYTIiLCJ1c2VySWQiOiIzNTQwNzg0OTIifQ==</vt:lpwstr>
  </property>
</Properties>
</file>