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atLeast"/>
        <w:ind w:firstLine="0" w:firstLineChars="0"/>
        <w:jc w:val="center"/>
        <w:rPr>
          <w:rFonts w:hint="default" w:ascii="Times New Roman" w:hAnsi="Times New Roman" w:eastAsia="宋体" w:cs="Times New Roman"/>
          <w:b/>
          <w:bCs/>
          <w:color w:val="000000"/>
          <w:sz w:val="44"/>
          <w:szCs w:val="44"/>
        </w:rPr>
      </w:pPr>
    </w:p>
    <w:p>
      <w:pPr>
        <w:spacing w:line="520" w:lineRule="atLeast"/>
        <w:ind w:firstLine="0" w:firstLineChars="0"/>
        <w:jc w:val="center"/>
        <w:rPr>
          <w:rFonts w:hint="default" w:ascii="Times New Roman" w:hAnsi="Times New Roman" w:eastAsia="宋体" w:cs="Times New Roman"/>
          <w:b/>
          <w:bCs/>
          <w:color w:val="000000"/>
          <w:sz w:val="44"/>
          <w:szCs w:val="44"/>
        </w:rPr>
      </w:pPr>
      <w:bookmarkStart w:id="0" w:name="_GoBack"/>
      <w:r>
        <w:rPr>
          <w:rFonts w:hint="default" w:ascii="Times New Roman" w:hAnsi="Times New Roman" w:eastAsia="宋体" w:cs="Times New Roman"/>
          <w:b/>
          <w:bCs/>
          <w:color w:val="000000"/>
          <w:sz w:val="44"/>
          <w:szCs w:val="44"/>
        </w:rPr>
        <w:t>广州市政府集中采购目录及</w:t>
      </w:r>
      <w:r>
        <w:rPr>
          <w:rFonts w:hint="default" w:ascii="Times New Roman" w:hAnsi="Times New Roman" w:eastAsia="宋体" w:cs="Times New Roman"/>
          <w:b/>
          <w:bCs/>
          <w:color w:val="000000"/>
          <w:sz w:val="44"/>
          <w:szCs w:val="44"/>
          <w:lang w:eastAsia="zh-CN"/>
        </w:rPr>
        <w:t>采购限额</w:t>
      </w:r>
      <w:r>
        <w:rPr>
          <w:rFonts w:hint="default" w:ascii="Times New Roman" w:hAnsi="Times New Roman" w:eastAsia="宋体" w:cs="Times New Roman"/>
          <w:b/>
          <w:bCs/>
          <w:color w:val="000000"/>
          <w:sz w:val="44"/>
          <w:szCs w:val="44"/>
        </w:rPr>
        <w:t>标准（2020年版）</w:t>
      </w:r>
    </w:p>
    <w:bookmarkEnd w:id="0"/>
    <w:p>
      <w:pPr>
        <w:keepNext w:val="0"/>
        <w:keepLines w:val="0"/>
        <w:pageBreakBefore w:val="0"/>
        <w:kinsoku/>
        <w:wordWrap/>
        <w:overflowPunct/>
        <w:topLinePunct w:val="0"/>
        <w:autoSpaceDE/>
        <w:autoSpaceDN/>
        <w:bidi w:val="0"/>
        <w:adjustRightInd w:val="0"/>
        <w:snapToGrid w:val="0"/>
        <w:spacing w:line="520" w:lineRule="atLeast"/>
        <w:ind w:firstLine="640" w:firstLineChars="200"/>
        <w:rPr>
          <w:rFonts w:hint="default" w:ascii="Times New Roman" w:hAnsi="Times New Roman" w:cs="Times New Roman"/>
          <w:color w:val="000000"/>
        </w:rPr>
      </w:pPr>
    </w:p>
    <w:p>
      <w:pPr>
        <w:keepNext w:val="0"/>
        <w:keepLines w:val="0"/>
        <w:pageBreakBefore w:val="0"/>
        <w:kinsoku/>
        <w:wordWrap/>
        <w:overflowPunct/>
        <w:topLinePunct w:val="0"/>
        <w:autoSpaceDE/>
        <w:autoSpaceDN/>
        <w:bidi w:val="0"/>
        <w:adjustRightInd w:val="0"/>
        <w:snapToGrid w:val="0"/>
        <w:spacing w:line="520" w:lineRule="atLeast"/>
        <w:ind w:firstLine="640" w:firstLineChars="200"/>
        <w:rPr>
          <w:rFonts w:hint="default" w:ascii="Times New Roman" w:hAnsi="Times New Roman" w:eastAsia="黑体" w:cs="Times New Roman"/>
          <w:color w:val="000000"/>
        </w:rPr>
      </w:pPr>
      <w:r>
        <w:rPr>
          <w:rFonts w:hint="default" w:ascii="Times New Roman" w:hAnsi="Times New Roman" w:eastAsia="黑体" w:cs="Times New Roman"/>
          <w:color w:val="000000"/>
        </w:rPr>
        <w:t>一、集中采购目录</w:t>
      </w:r>
    </w:p>
    <w:p>
      <w:pPr>
        <w:keepNext w:val="0"/>
        <w:keepLines w:val="0"/>
        <w:pageBreakBefore w:val="0"/>
        <w:kinsoku/>
        <w:wordWrap/>
        <w:overflowPunct/>
        <w:topLinePunct w:val="0"/>
        <w:autoSpaceDE/>
        <w:autoSpaceDN/>
        <w:bidi w:val="0"/>
        <w:adjustRightInd w:val="0"/>
        <w:snapToGrid w:val="0"/>
        <w:spacing w:line="520" w:lineRule="atLeast"/>
        <w:ind w:firstLine="640" w:firstLineChars="200"/>
        <w:rPr>
          <w:rFonts w:hint="default" w:ascii="Times New Roman" w:hAnsi="Times New Roman" w:cs="Times New Roman"/>
          <w:color w:val="000000"/>
        </w:rPr>
      </w:pPr>
      <w:r>
        <w:rPr>
          <w:rFonts w:hint="default" w:ascii="Times New Roman" w:hAnsi="Times New Roman" w:cs="Times New Roman"/>
          <w:color w:val="000000"/>
        </w:rPr>
        <w:t>凡纳入集中采购目录的项目均须按规定委托集中采购机构</w:t>
      </w:r>
    </w:p>
    <w:p>
      <w:pPr>
        <w:keepNext w:val="0"/>
        <w:keepLines w:val="0"/>
        <w:pageBreakBefore w:val="0"/>
        <w:kinsoku/>
        <w:wordWrap/>
        <w:overflowPunct/>
        <w:topLinePunct w:val="0"/>
        <w:autoSpaceDE/>
        <w:autoSpaceDN/>
        <w:bidi w:val="0"/>
        <w:adjustRightInd w:val="0"/>
        <w:snapToGrid w:val="0"/>
        <w:spacing w:line="520" w:lineRule="atLeast"/>
        <w:rPr>
          <w:rFonts w:hint="default" w:ascii="Times New Roman" w:hAnsi="Times New Roman" w:cs="Times New Roman"/>
          <w:color w:val="000000"/>
        </w:rPr>
      </w:pPr>
      <w:r>
        <w:rPr>
          <w:rFonts w:hint="default" w:ascii="Times New Roman" w:hAnsi="Times New Roman" w:cs="Times New Roman"/>
          <w:color w:val="000000"/>
        </w:rPr>
        <w:t>采购。</w:t>
      </w:r>
    </w:p>
    <w:tbl>
      <w:tblPr>
        <w:tblStyle w:val="4"/>
        <w:tblW w:w="0" w:type="auto"/>
        <w:tblInd w:w="0" w:type="dxa"/>
        <w:tblLayout w:type="fixed"/>
        <w:tblCellMar>
          <w:top w:w="0" w:type="dxa"/>
          <w:left w:w="0" w:type="dxa"/>
          <w:bottom w:w="0" w:type="dxa"/>
          <w:right w:w="0" w:type="dxa"/>
        </w:tblCellMar>
      </w:tblPr>
      <w:tblGrid>
        <w:gridCol w:w="822"/>
        <w:gridCol w:w="2929"/>
        <w:gridCol w:w="2351"/>
        <w:gridCol w:w="3221"/>
      </w:tblGrid>
      <w:tr>
        <w:tblPrEx>
          <w:tblCellMar>
            <w:top w:w="0" w:type="dxa"/>
            <w:left w:w="0" w:type="dxa"/>
            <w:bottom w:w="0" w:type="dxa"/>
            <w:right w:w="0" w:type="dxa"/>
          </w:tblCellMar>
        </w:tblPrEx>
        <w:trPr>
          <w:trHeight w:val="686" w:hRule="atLeast"/>
        </w:trPr>
        <w:tc>
          <w:tcPr>
            <w:tcW w:w="822"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宋体" w:cs="Times New Roman"/>
                <w:b/>
                <w:color w:val="000000"/>
                <w:sz w:val="28"/>
                <w:szCs w:val="28"/>
              </w:rPr>
            </w:pPr>
            <w:r>
              <w:rPr>
                <w:rFonts w:hint="default" w:ascii="Times New Roman" w:hAnsi="Times New Roman" w:eastAsia="宋体" w:cs="Times New Roman"/>
                <w:b/>
                <w:color w:val="000000"/>
                <w:sz w:val="28"/>
                <w:szCs w:val="28"/>
                <w:lang w:bidi="ar"/>
              </w:rPr>
              <w:t>序号</w:t>
            </w:r>
          </w:p>
        </w:tc>
        <w:tc>
          <w:tcPr>
            <w:tcW w:w="2929" w:type="dxa"/>
            <w:tcBorders>
              <w:top w:val="single" w:color="000000" w:sz="8"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宋体" w:cs="Times New Roman"/>
                <w:b/>
                <w:color w:val="000000"/>
                <w:sz w:val="28"/>
                <w:szCs w:val="28"/>
              </w:rPr>
            </w:pPr>
            <w:r>
              <w:rPr>
                <w:rFonts w:hint="default" w:ascii="Times New Roman" w:hAnsi="Times New Roman" w:eastAsia="宋体" w:cs="Times New Roman"/>
                <w:b/>
                <w:color w:val="000000"/>
                <w:sz w:val="28"/>
                <w:szCs w:val="28"/>
                <w:lang w:bidi="ar"/>
              </w:rPr>
              <w:t>品目</w:t>
            </w:r>
          </w:p>
        </w:tc>
        <w:tc>
          <w:tcPr>
            <w:tcW w:w="2351" w:type="dxa"/>
            <w:tcBorders>
              <w:top w:val="single" w:color="000000" w:sz="8"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宋体" w:cs="Times New Roman"/>
                <w:b/>
                <w:color w:val="000000"/>
                <w:sz w:val="28"/>
                <w:szCs w:val="28"/>
              </w:rPr>
            </w:pPr>
            <w:r>
              <w:rPr>
                <w:rFonts w:hint="default" w:ascii="Times New Roman" w:hAnsi="Times New Roman" w:eastAsia="宋体" w:cs="Times New Roman"/>
                <w:b/>
                <w:color w:val="000000"/>
                <w:sz w:val="28"/>
                <w:szCs w:val="28"/>
                <w:lang w:bidi="ar"/>
              </w:rPr>
              <w:t>编码</w:t>
            </w:r>
          </w:p>
        </w:tc>
        <w:tc>
          <w:tcPr>
            <w:tcW w:w="3221" w:type="dxa"/>
            <w:tcBorders>
              <w:top w:val="single" w:color="000000" w:sz="8"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宋体" w:cs="Times New Roman"/>
                <w:b/>
                <w:color w:val="000000"/>
                <w:sz w:val="28"/>
                <w:szCs w:val="28"/>
              </w:rPr>
            </w:pPr>
            <w:r>
              <w:rPr>
                <w:rFonts w:hint="default" w:ascii="Times New Roman" w:hAnsi="Times New Roman" w:eastAsia="宋体" w:cs="Times New Roman"/>
                <w:b/>
                <w:color w:val="000000"/>
                <w:sz w:val="28"/>
                <w:szCs w:val="28"/>
                <w:lang w:bidi="ar"/>
              </w:rPr>
              <w:t>说明</w:t>
            </w:r>
          </w:p>
        </w:tc>
      </w:tr>
      <w:tr>
        <w:tblPrEx>
          <w:tblCellMar>
            <w:top w:w="0" w:type="dxa"/>
            <w:left w:w="0" w:type="dxa"/>
            <w:bottom w:w="0" w:type="dxa"/>
            <w:right w:w="0" w:type="dxa"/>
          </w:tblCellMar>
        </w:tblPrEx>
        <w:trPr>
          <w:trHeight w:val="390" w:hRule="atLeast"/>
        </w:trPr>
        <w:tc>
          <w:tcPr>
            <w:tcW w:w="822" w:type="dxa"/>
            <w:tcBorders>
              <w:top w:val="nil"/>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1</w:t>
            </w:r>
          </w:p>
        </w:tc>
        <w:tc>
          <w:tcPr>
            <w:tcW w:w="2929"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服务器</w:t>
            </w:r>
          </w:p>
        </w:tc>
        <w:tc>
          <w:tcPr>
            <w:tcW w:w="235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A02010103</w:t>
            </w:r>
          </w:p>
        </w:tc>
        <w:tc>
          <w:tcPr>
            <w:tcW w:w="322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spacing w:line="520" w:lineRule="atLeast"/>
              <w:jc w:val="center"/>
              <w:rPr>
                <w:rFonts w:hint="default" w:ascii="Times New Roman" w:hAnsi="Times New Roman" w:eastAsia="仿宋_GB2312" w:cs="Times New Roman"/>
                <w:color w:val="000000"/>
                <w:sz w:val="28"/>
                <w:szCs w:val="28"/>
              </w:rPr>
            </w:pPr>
          </w:p>
        </w:tc>
      </w:tr>
      <w:tr>
        <w:tblPrEx>
          <w:tblCellMar>
            <w:top w:w="0" w:type="dxa"/>
            <w:left w:w="0" w:type="dxa"/>
            <w:bottom w:w="0" w:type="dxa"/>
            <w:right w:w="0" w:type="dxa"/>
          </w:tblCellMar>
        </w:tblPrEx>
        <w:trPr>
          <w:trHeight w:val="390" w:hRule="atLeast"/>
        </w:trPr>
        <w:tc>
          <w:tcPr>
            <w:tcW w:w="822" w:type="dxa"/>
            <w:tcBorders>
              <w:top w:val="nil"/>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2</w:t>
            </w:r>
          </w:p>
        </w:tc>
        <w:tc>
          <w:tcPr>
            <w:tcW w:w="2929"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台式计算机</w:t>
            </w:r>
          </w:p>
        </w:tc>
        <w:tc>
          <w:tcPr>
            <w:tcW w:w="235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A02010104</w:t>
            </w:r>
          </w:p>
        </w:tc>
        <w:tc>
          <w:tcPr>
            <w:tcW w:w="322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spacing w:line="520" w:lineRule="atLeast"/>
              <w:jc w:val="center"/>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不包括科研、测绘专业计算机、图形工作站</w:t>
            </w:r>
          </w:p>
        </w:tc>
      </w:tr>
      <w:tr>
        <w:tblPrEx>
          <w:tblCellMar>
            <w:top w:w="0" w:type="dxa"/>
            <w:left w:w="0" w:type="dxa"/>
            <w:bottom w:w="0" w:type="dxa"/>
            <w:right w:w="0" w:type="dxa"/>
          </w:tblCellMar>
        </w:tblPrEx>
        <w:trPr>
          <w:trHeight w:val="765" w:hRule="atLeast"/>
        </w:trPr>
        <w:tc>
          <w:tcPr>
            <w:tcW w:w="822" w:type="dxa"/>
            <w:tcBorders>
              <w:top w:val="nil"/>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3</w:t>
            </w:r>
          </w:p>
        </w:tc>
        <w:tc>
          <w:tcPr>
            <w:tcW w:w="2929"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便携式计算机</w:t>
            </w:r>
          </w:p>
        </w:tc>
        <w:tc>
          <w:tcPr>
            <w:tcW w:w="235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A02010105</w:t>
            </w:r>
          </w:p>
        </w:tc>
        <w:tc>
          <w:tcPr>
            <w:tcW w:w="322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spacing w:line="520" w:lineRule="atLeas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val="en-US" w:eastAsia="zh-CN"/>
              </w:rPr>
              <w:t>不包括科研、测绘专业计算机、图形工作站</w:t>
            </w:r>
          </w:p>
        </w:tc>
      </w:tr>
      <w:tr>
        <w:tblPrEx>
          <w:tblCellMar>
            <w:top w:w="0" w:type="dxa"/>
            <w:left w:w="0" w:type="dxa"/>
            <w:bottom w:w="0" w:type="dxa"/>
            <w:right w:w="0" w:type="dxa"/>
          </w:tblCellMar>
        </w:tblPrEx>
        <w:trPr>
          <w:trHeight w:val="390" w:hRule="atLeast"/>
        </w:trPr>
        <w:tc>
          <w:tcPr>
            <w:tcW w:w="822" w:type="dxa"/>
            <w:tcBorders>
              <w:top w:val="nil"/>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4</w:t>
            </w:r>
          </w:p>
        </w:tc>
        <w:tc>
          <w:tcPr>
            <w:tcW w:w="2929"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喷墨打印机</w:t>
            </w:r>
          </w:p>
        </w:tc>
        <w:tc>
          <w:tcPr>
            <w:tcW w:w="235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A0201060101</w:t>
            </w:r>
          </w:p>
        </w:tc>
        <w:tc>
          <w:tcPr>
            <w:tcW w:w="322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spacing w:line="520" w:lineRule="atLeast"/>
              <w:jc w:val="center"/>
              <w:rPr>
                <w:rFonts w:hint="default" w:ascii="Times New Roman" w:hAnsi="Times New Roman" w:eastAsia="仿宋_GB2312" w:cs="Times New Roman"/>
                <w:color w:val="000000"/>
                <w:sz w:val="28"/>
                <w:szCs w:val="28"/>
              </w:rPr>
            </w:pPr>
          </w:p>
        </w:tc>
      </w:tr>
      <w:tr>
        <w:tblPrEx>
          <w:tblCellMar>
            <w:top w:w="0" w:type="dxa"/>
            <w:left w:w="0" w:type="dxa"/>
            <w:bottom w:w="0" w:type="dxa"/>
            <w:right w:w="0" w:type="dxa"/>
          </w:tblCellMar>
        </w:tblPrEx>
        <w:trPr>
          <w:trHeight w:val="390" w:hRule="atLeast"/>
        </w:trPr>
        <w:tc>
          <w:tcPr>
            <w:tcW w:w="822" w:type="dxa"/>
            <w:tcBorders>
              <w:top w:val="nil"/>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5</w:t>
            </w:r>
          </w:p>
        </w:tc>
        <w:tc>
          <w:tcPr>
            <w:tcW w:w="2929"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激光打印机</w:t>
            </w:r>
          </w:p>
        </w:tc>
        <w:tc>
          <w:tcPr>
            <w:tcW w:w="235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A0201060102</w:t>
            </w:r>
          </w:p>
        </w:tc>
        <w:tc>
          <w:tcPr>
            <w:tcW w:w="322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spacing w:line="520" w:lineRule="atLeast"/>
              <w:jc w:val="center"/>
              <w:rPr>
                <w:rFonts w:hint="default" w:ascii="Times New Roman" w:hAnsi="Times New Roman" w:eastAsia="仿宋_GB2312" w:cs="Times New Roman"/>
                <w:color w:val="000000"/>
                <w:sz w:val="28"/>
                <w:szCs w:val="28"/>
              </w:rPr>
            </w:pPr>
          </w:p>
        </w:tc>
      </w:tr>
      <w:tr>
        <w:tblPrEx>
          <w:tblCellMar>
            <w:top w:w="0" w:type="dxa"/>
            <w:left w:w="0" w:type="dxa"/>
            <w:bottom w:w="0" w:type="dxa"/>
            <w:right w:w="0" w:type="dxa"/>
          </w:tblCellMar>
        </w:tblPrEx>
        <w:trPr>
          <w:trHeight w:val="390" w:hRule="atLeast"/>
        </w:trPr>
        <w:tc>
          <w:tcPr>
            <w:tcW w:w="822" w:type="dxa"/>
            <w:tcBorders>
              <w:top w:val="nil"/>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6</w:t>
            </w:r>
          </w:p>
        </w:tc>
        <w:tc>
          <w:tcPr>
            <w:tcW w:w="2929"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针式打印机</w:t>
            </w:r>
          </w:p>
        </w:tc>
        <w:tc>
          <w:tcPr>
            <w:tcW w:w="235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A0201060104</w:t>
            </w:r>
          </w:p>
        </w:tc>
        <w:tc>
          <w:tcPr>
            <w:tcW w:w="322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spacing w:line="520" w:lineRule="atLeast"/>
              <w:jc w:val="center"/>
              <w:rPr>
                <w:rFonts w:hint="default" w:ascii="Times New Roman" w:hAnsi="Times New Roman" w:eastAsia="仿宋_GB2312" w:cs="Times New Roman"/>
                <w:color w:val="000000"/>
                <w:sz w:val="28"/>
                <w:szCs w:val="28"/>
              </w:rPr>
            </w:pPr>
          </w:p>
        </w:tc>
      </w:tr>
      <w:tr>
        <w:tblPrEx>
          <w:tblCellMar>
            <w:top w:w="0" w:type="dxa"/>
            <w:left w:w="0" w:type="dxa"/>
            <w:bottom w:w="0" w:type="dxa"/>
            <w:right w:w="0" w:type="dxa"/>
          </w:tblCellMar>
        </w:tblPrEx>
        <w:trPr>
          <w:trHeight w:val="390" w:hRule="atLeast"/>
        </w:trPr>
        <w:tc>
          <w:tcPr>
            <w:tcW w:w="822" w:type="dxa"/>
            <w:tcBorders>
              <w:top w:val="nil"/>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7</w:t>
            </w:r>
          </w:p>
        </w:tc>
        <w:tc>
          <w:tcPr>
            <w:tcW w:w="2929"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液晶显示器</w:t>
            </w:r>
          </w:p>
        </w:tc>
        <w:tc>
          <w:tcPr>
            <w:tcW w:w="235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A0201060401</w:t>
            </w:r>
          </w:p>
        </w:tc>
        <w:tc>
          <w:tcPr>
            <w:tcW w:w="322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spacing w:line="520" w:lineRule="atLeast"/>
              <w:jc w:val="center"/>
              <w:rPr>
                <w:rFonts w:hint="default" w:ascii="Times New Roman" w:hAnsi="Times New Roman" w:eastAsia="仿宋_GB2312" w:cs="Times New Roman"/>
                <w:color w:val="000000"/>
                <w:sz w:val="28"/>
                <w:szCs w:val="28"/>
              </w:rPr>
            </w:pPr>
          </w:p>
        </w:tc>
      </w:tr>
      <w:tr>
        <w:tblPrEx>
          <w:tblCellMar>
            <w:top w:w="0" w:type="dxa"/>
            <w:left w:w="0" w:type="dxa"/>
            <w:bottom w:w="0" w:type="dxa"/>
            <w:right w:w="0" w:type="dxa"/>
          </w:tblCellMar>
        </w:tblPrEx>
        <w:trPr>
          <w:trHeight w:val="924" w:hRule="atLeast"/>
        </w:trPr>
        <w:tc>
          <w:tcPr>
            <w:tcW w:w="822" w:type="dxa"/>
            <w:tcBorders>
              <w:top w:val="nil"/>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8</w:t>
            </w:r>
          </w:p>
        </w:tc>
        <w:tc>
          <w:tcPr>
            <w:tcW w:w="2929"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扫描仪</w:t>
            </w:r>
          </w:p>
        </w:tc>
        <w:tc>
          <w:tcPr>
            <w:tcW w:w="235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A0201060901</w:t>
            </w:r>
          </w:p>
        </w:tc>
        <w:tc>
          <w:tcPr>
            <w:tcW w:w="322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spacing w:line="520" w:lineRule="atLeast"/>
              <w:jc w:val="center"/>
              <w:rPr>
                <w:rFonts w:hint="default" w:ascii="Times New Roman" w:hAnsi="Times New Roman" w:eastAsia="仿宋_GB2312" w:cs="Times New Roman"/>
                <w:color w:val="000000"/>
                <w:sz w:val="28"/>
                <w:szCs w:val="28"/>
              </w:rPr>
            </w:pPr>
          </w:p>
        </w:tc>
      </w:tr>
      <w:tr>
        <w:tblPrEx>
          <w:tblCellMar>
            <w:top w:w="0" w:type="dxa"/>
            <w:left w:w="0" w:type="dxa"/>
            <w:bottom w:w="0" w:type="dxa"/>
            <w:right w:w="0" w:type="dxa"/>
          </w:tblCellMar>
        </w:tblPrEx>
        <w:trPr>
          <w:trHeight w:val="1695" w:hRule="atLeast"/>
        </w:trPr>
        <w:tc>
          <w:tcPr>
            <w:tcW w:w="822" w:type="dxa"/>
            <w:tcBorders>
              <w:top w:val="nil"/>
              <w:left w:val="single" w:color="000000" w:sz="8" w:space="0"/>
              <w:bottom w:val="single" w:color="auto" w:sz="4"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9</w:t>
            </w:r>
          </w:p>
        </w:tc>
        <w:tc>
          <w:tcPr>
            <w:tcW w:w="2929" w:type="dxa"/>
            <w:tcBorders>
              <w:top w:val="nil"/>
              <w:left w:val="nil"/>
              <w:bottom w:val="single" w:color="auto" w:sz="4"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基础软件</w:t>
            </w:r>
          </w:p>
        </w:tc>
        <w:tc>
          <w:tcPr>
            <w:tcW w:w="2351" w:type="dxa"/>
            <w:tcBorders>
              <w:top w:val="nil"/>
              <w:left w:val="nil"/>
              <w:bottom w:val="single" w:color="auto" w:sz="4"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A02010801</w:t>
            </w:r>
          </w:p>
        </w:tc>
        <w:tc>
          <w:tcPr>
            <w:tcW w:w="3221" w:type="dxa"/>
            <w:tcBorders>
              <w:top w:val="nil"/>
              <w:left w:val="nil"/>
              <w:bottom w:val="single" w:color="auto" w:sz="4"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top"/>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指非定制的通用商业软件。包括操作系统、数据库管理系统、中间件、办公套件等。</w:t>
            </w:r>
          </w:p>
        </w:tc>
      </w:tr>
      <w:tr>
        <w:tblPrEx>
          <w:tblCellMar>
            <w:top w:w="0" w:type="dxa"/>
            <w:left w:w="0" w:type="dxa"/>
            <w:bottom w:w="0" w:type="dxa"/>
            <w:right w:w="0" w:type="dxa"/>
          </w:tblCellMar>
        </w:tblPrEx>
        <w:trPr>
          <w:trHeight w:val="3855" w:hRule="atLeast"/>
        </w:trPr>
        <w:tc>
          <w:tcPr>
            <w:tcW w:w="822" w:type="dxa"/>
            <w:tcBorders>
              <w:top w:val="single" w:color="auto" w:sz="4" w:space="0"/>
              <w:left w:val="single" w:color="auto" w:sz="4" w:space="0"/>
              <w:bottom w:val="single" w:color="auto" w:sz="4"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10</w:t>
            </w:r>
          </w:p>
        </w:tc>
        <w:tc>
          <w:tcPr>
            <w:tcW w:w="2929" w:type="dxa"/>
            <w:tcBorders>
              <w:top w:val="single" w:color="auto" w:sz="4" w:space="0"/>
              <w:left w:val="nil"/>
              <w:bottom w:val="single" w:color="auto" w:sz="4"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信息安全软件</w:t>
            </w:r>
          </w:p>
        </w:tc>
        <w:tc>
          <w:tcPr>
            <w:tcW w:w="2351" w:type="dxa"/>
            <w:tcBorders>
              <w:top w:val="single" w:color="auto" w:sz="4" w:space="0"/>
              <w:left w:val="nil"/>
              <w:bottom w:val="single" w:color="auto" w:sz="4"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A02010805</w:t>
            </w:r>
          </w:p>
        </w:tc>
        <w:tc>
          <w:tcPr>
            <w:tcW w:w="3221" w:type="dxa"/>
            <w:tcBorders>
              <w:top w:val="single" w:color="auto" w:sz="4" w:space="0"/>
              <w:left w:val="nil"/>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520" w:lineRule="atLeast"/>
              <w:jc w:val="both"/>
              <w:textAlignment w:val="top"/>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指非定制的通用商业软件。包括基础和平台类安全软件、数据安全软件、网络与边界安全软件、安全测试评估软件、安全应用软件、安全支撑软件、安全管理软件等。</w:t>
            </w:r>
          </w:p>
        </w:tc>
      </w:tr>
      <w:tr>
        <w:tblPrEx>
          <w:tblCellMar>
            <w:top w:w="0" w:type="dxa"/>
            <w:left w:w="0" w:type="dxa"/>
            <w:bottom w:w="0" w:type="dxa"/>
            <w:right w:w="0" w:type="dxa"/>
          </w:tblCellMar>
        </w:tblPrEx>
        <w:trPr>
          <w:trHeight w:val="390" w:hRule="atLeast"/>
        </w:trPr>
        <w:tc>
          <w:tcPr>
            <w:tcW w:w="822" w:type="dxa"/>
            <w:tcBorders>
              <w:top w:val="single" w:color="auto" w:sz="4"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11</w:t>
            </w:r>
          </w:p>
        </w:tc>
        <w:tc>
          <w:tcPr>
            <w:tcW w:w="2929" w:type="dxa"/>
            <w:tcBorders>
              <w:top w:val="single" w:color="auto" w:sz="4"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复印机</w:t>
            </w:r>
          </w:p>
        </w:tc>
        <w:tc>
          <w:tcPr>
            <w:tcW w:w="2351" w:type="dxa"/>
            <w:tcBorders>
              <w:top w:val="single" w:color="auto" w:sz="4"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A020201</w:t>
            </w:r>
          </w:p>
        </w:tc>
        <w:tc>
          <w:tcPr>
            <w:tcW w:w="3221" w:type="dxa"/>
            <w:tcBorders>
              <w:top w:val="single" w:color="auto" w:sz="4"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lang w:bidi="ar"/>
              </w:rPr>
              <w:t>不包括印刷机</w:t>
            </w:r>
            <w:r>
              <w:rPr>
                <w:rFonts w:hint="default" w:ascii="Times New Roman" w:hAnsi="Times New Roman" w:eastAsia="仿宋_GB2312" w:cs="Times New Roman"/>
                <w:color w:val="000000"/>
                <w:sz w:val="28"/>
                <w:szCs w:val="28"/>
                <w:lang w:eastAsia="zh-CN" w:bidi="ar"/>
              </w:rPr>
              <w:t>、速印机</w:t>
            </w:r>
          </w:p>
        </w:tc>
      </w:tr>
      <w:tr>
        <w:tblPrEx>
          <w:tblCellMar>
            <w:top w:w="0" w:type="dxa"/>
            <w:left w:w="0" w:type="dxa"/>
            <w:bottom w:w="0" w:type="dxa"/>
            <w:right w:w="0" w:type="dxa"/>
          </w:tblCellMar>
        </w:tblPrEx>
        <w:trPr>
          <w:trHeight w:val="1140" w:hRule="atLeast"/>
        </w:trPr>
        <w:tc>
          <w:tcPr>
            <w:tcW w:w="822" w:type="dxa"/>
            <w:tcBorders>
              <w:top w:val="nil"/>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12</w:t>
            </w:r>
          </w:p>
        </w:tc>
        <w:tc>
          <w:tcPr>
            <w:tcW w:w="2929"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投影仪</w:t>
            </w:r>
          </w:p>
        </w:tc>
        <w:tc>
          <w:tcPr>
            <w:tcW w:w="235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A020202</w:t>
            </w:r>
          </w:p>
        </w:tc>
        <w:tc>
          <w:tcPr>
            <w:tcW w:w="322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用于测量、测绘等专用投影仪除外</w:t>
            </w:r>
          </w:p>
        </w:tc>
      </w:tr>
      <w:tr>
        <w:tblPrEx>
          <w:tblCellMar>
            <w:top w:w="0" w:type="dxa"/>
            <w:left w:w="0" w:type="dxa"/>
            <w:bottom w:w="0" w:type="dxa"/>
            <w:right w:w="0" w:type="dxa"/>
          </w:tblCellMar>
        </w:tblPrEx>
        <w:trPr>
          <w:trHeight w:val="765" w:hRule="atLeast"/>
        </w:trPr>
        <w:tc>
          <w:tcPr>
            <w:tcW w:w="822" w:type="dxa"/>
            <w:tcBorders>
              <w:top w:val="nil"/>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13</w:t>
            </w:r>
          </w:p>
        </w:tc>
        <w:tc>
          <w:tcPr>
            <w:tcW w:w="2929"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多功能一体机</w:t>
            </w:r>
          </w:p>
        </w:tc>
        <w:tc>
          <w:tcPr>
            <w:tcW w:w="235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A020204</w:t>
            </w:r>
          </w:p>
        </w:tc>
        <w:tc>
          <w:tcPr>
            <w:tcW w:w="322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spacing w:line="520" w:lineRule="atLeast"/>
              <w:jc w:val="center"/>
              <w:rPr>
                <w:rFonts w:hint="default" w:ascii="Times New Roman" w:hAnsi="Times New Roman" w:eastAsia="仿宋_GB2312" w:cs="Times New Roman"/>
                <w:color w:val="000000"/>
                <w:sz w:val="28"/>
                <w:szCs w:val="28"/>
              </w:rPr>
            </w:pPr>
            <w:r>
              <w:rPr>
                <w:rFonts w:hint="default" w:ascii="Times New Roman" w:hAnsi="Times New Roman" w:cs="Times New Roman"/>
                <w:color w:val="000000"/>
                <w:sz w:val="28"/>
                <w:szCs w:val="28"/>
                <w:lang w:eastAsia="zh-CN"/>
              </w:rPr>
              <w:t>具有多种办公功能的设备</w:t>
            </w:r>
          </w:p>
        </w:tc>
      </w:tr>
      <w:tr>
        <w:tblPrEx>
          <w:tblCellMar>
            <w:top w:w="0" w:type="dxa"/>
            <w:left w:w="0" w:type="dxa"/>
            <w:bottom w:w="0" w:type="dxa"/>
            <w:right w:w="0" w:type="dxa"/>
          </w:tblCellMar>
        </w:tblPrEx>
        <w:trPr>
          <w:trHeight w:val="390" w:hRule="atLeast"/>
        </w:trPr>
        <w:tc>
          <w:tcPr>
            <w:tcW w:w="822" w:type="dxa"/>
            <w:tcBorders>
              <w:top w:val="nil"/>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14</w:t>
            </w:r>
          </w:p>
        </w:tc>
        <w:tc>
          <w:tcPr>
            <w:tcW w:w="2929"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LED显示屏</w:t>
            </w:r>
          </w:p>
        </w:tc>
        <w:tc>
          <w:tcPr>
            <w:tcW w:w="235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A020207</w:t>
            </w:r>
          </w:p>
        </w:tc>
        <w:tc>
          <w:tcPr>
            <w:tcW w:w="322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spacing w:line="520" w:lineRule="atLeast"/>
              <w:jc w:val="center"/>
              <w:rPr>
                <w:rFonts w:hint="default" w:ascii="Times New Roman" w:hAnsi="Times New Roman" w:eastAsia="仿宋_GB2312" w:cs="Times New Roman"/>
                <w:color w:val="000000"/>
                <w:sz w:val="28"/>
                <w:szCs w:val="28"/>
              </w:rPr>
            </w:pPr>
          </w:p>
        </w:tc>
      </w:tr>
      <w:tr>
        <w:tblPrEx>
          <w:tblCellMar>
            <w:top w:w="0" w:type="dxa"/>
            <w:left w:w="0" w:type="dxa"/>
            <w:bottom w:w="0" w:type="dxa"/>
            <w:right w:w="0" w:type="dxa"/>
          </w:tblCellMar>
        </w:tblPrEx>
        <w:trPr>
          <w:trHeight w:val="750" w:hRule="atLeast"/>
        </w:trPr>
        <w:tc>
          <w:tcPr>
            <w:tcW w:w="822" w:type="dxa"/>
            <w:tcBorders>
              <w:top w:val="nil"/>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15</w:t>
            </w:r>
          </w:p>
        </w:tc>
        <w:tc>
          <w:tcPr>
            <w:tcW w:w="2929"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触控一体机</w:t>
            </w:r>
          </w:p>
        </w:tc>
        <w:tc>
          <w:tcPr>
            <w:tcW w:w="235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A020208</w:t>
            </w:r>
          </w:p>
        </w:tc>
        <w:tc>
          <w:tcPr>
            <w:tcW w:w="322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spacing w:line="520" w:lineRule="atLeast"/>
              <w:jc w:val="center"/>
              <w:rPr>
                <w:rFonts w:hint="default" w:ascii="Times New Roman" w:hAnsi="Times New Roman" w:eastAsia="仿宋_GB2312" w:cs="Times New Roman"/>
                <w:color w:val="000000"/>
                <w:sz w:val="28"/>
                <w:szCs w:val="28"/>
              </w:rPr>
            </w:pPr>
            <w:r>
              <w:rPr>
                <w:rFonts w:hint="default" w:ascii="Times New Roman" w:hAnsi="Times New Roman" w:cs="Times New Roman"/>
                <w:color w:val="000000"/>
                <w:sz w:val="28"/>
                <w:szCs w:val="28"/>
                <w:lang w:eastAsia="zh-CN"/>
              </w:rPr>
              <w:t>包括室内型、户外型触控屏等</w:t>
            </w:r>
          </w:p>
        </w:tc>
      </w:tr>
      <w:tr>
        <w:tblPrEx>
          <w:tblCellMar>
            <w:top w:w="0" w:type="dxa"/>
            <w:left w:w="0" w:type="dxa"/>
            <w:bottom w:w="0" w:type="dxa"/>
            <w:right w:w="0" w:type="dxa"/>
          </w:tblCellMar>
        </w:tblPrEx>
        <w:trPr>
          <w:trHeight w:val="390" w:hRule="atLeast"/>
        </w:trPr>
        <w:tc>
          <w:tcPr>
            <w:tcW w:w="822" w:type="dxa"/>
            <w:tcBorders>
              <w:top w:val="nil"/>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16</w:t>
            </w:r>
          </w:p>
        </w:tc>
        <w:tc>
          <w:tcPr>
            <w:tcW w:w="2929"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碎纸机</w:t>
            </w:r>
          </w:p>
        </w:tc>
        <w:tc>
          <w:tcPr>
            <w:tcW w:w="235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A02021101</w:t>
            </w:r>
          </w:p>
        </w:tc>
        <w:tc>
          <w:tcPr>
            <w:tcW w:w="322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spacing w:line="520" w:lineRule="atLeast"/>
              <w:jc w:val="center"/>
              <w:rPr>
                <w:rFonts w:hint="default" w:ascii="Times New Roman" w:hAnsi="Times New Roman" w:eastAsia="仿宋_GB2312" w:cs="Times New Roman"/>
                <w:color w:val="000000"/>
                <w:sz w:val="28"/>
                <w:szCs w:val="28"/>
              </w:rPr>
            </w:pPr>
          </w:p>
        </w:tc>
      </w:tr>
      <w:tr>
        <w:tblPrEx>
          <w:tblCellMar>
            <w:top w:w="0" w:type="dxa"/>
            <w:left w:w="0" w:type="dxa"/>
            <w:bottom w:w="0" w:type="dxa"/>
            <w:right w:w="0" w:type="dxa"/>
          </w:tblCellMar>
        </w:tblPrEx>
        <w:trPr>
          <w:trHeight w:val="1125" w:hRule="atLeast"/>
        </w:trPr>
        <w:tc>
          <w:tcPr>
            <w:tcW w:w="822" w:type="dxa"/>
            <w:tcBorders>
              <w:top w:val="nil"/>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17</w:t>
            </w:r>
          </w:p>
        </w:tc>
        <w:tc>
          <w:tcPr>
            <w:tcW w:w="2929"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乘用车</w:t>
            </w:r>
          </w:p>
        </w:tc>
        <w:tc>
          <w:tcPr>
            <w:tcW w:w="235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A020305</w:t>
            </w:r>
          </w:p>
        </w:tc>
        <w:tc>
          <w:tcPr>
            <w:tcW w:w="322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top"/>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指轿车、越野车、商务车、皮卡，包含新能源汽车</w:t>
            </w:r>
          </w:p>
        </w:tc>
      </w:tr>
      <w:tr>
        <w:tblPrEx>
          <w:tblCellMar>
            <w:top w:w="0" w:type="dxa"/>
            <w:left w:w="0" w:type="dxa"/>
            <w:bottom w:w="0" w:type="dxa"/>
            <w:right w:w="0" w:type="dxa"/>
          </w:tblCellMar>
        </w:tblPrEx>
        <w:trPr>
          <w:trHeight w:val="1140" w:hRule="atLeast"/>
        </w:trPr>
        <w:tc>
          <w:tcPr>
            <w:tcW w:w="822" w:type="dxa"/>
            <w:tcBorders>
              <w:top w:val="nil"/>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18</w:t>
            </w:r>
          </w:p>
        </w:tc>
        <w:tc>
          <w:tcPr>
            <w:tcW w:w="2929"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客车</w:t>
            </w:r>
          </w:p>
        </w:tc>
        <w:tc>
          <w:tcPr>
            <w:tcW w:w="235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A020306</w:t>
            </w:r>
          </w:p>
        </w:tc>
        <w:tc>
          <w:tcPr>
            <w:tcW w:w="322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top"/>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指小型、大中型客车，包含新能源汽车</w:t>
            </w:r>
          </w:p>
        </w:tc>
      </w:tr>
      <w:tr>
        <w:tblPrEx>
          <w:tblCellMar>
            <w:top w:w="0" w:type="dxa"/>
            <w:left w:w="0" w:type="dxa"/>
            <w:bottom w:w="0" w:type="dxa"/>
            <w:right w:w="0" w:type="dxa"/>
          </w:tblCellMar>
        </w:tblPrEx>
        <w:trPr>
          <w:trHeight w:val="390" w:hRule="atLeast"/>
        </w:trPr>
        <w:tc>
          <w:tcPr>
            <w:tcW w:w="822" w:type="dxa"/>
            <w:tcBorders>
              <w:top w:val="nil"/>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19</w:t>
            </w:r>
          </w:p>
        </w:tc>
        <w:tc>
          <w:tcPr>
            <w:tcW w:w="2929"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电梯</w:t>
            </w:r>
          </w:p>
        </w:tc>
        <w:tc>
          <w:tcPr>
            <w:tcW w:w="235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A02051228</w:t>
            </w:r>
          </w:p>
        </w:tc>
        <w:tc>
          <w:tcPr>
            <w:tcW w:w="322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spacing w:line="520" w:lineRule="atLeast"/>
              <w:jc w:val="center"/>
              <w:rPr>
                <w:rFonts w:hint="default" w:ascii="Times New Roman" w:hAnsi="Times New Roman" w:eastAsia="仿宋_GB2312" w:cs="Times New Roman"/>
                <w:color w:val="000000"/>
                <w:sz w:val="28"/>
                <w:szCs w:val="28"/>
              </w:rPr>
            </w:pPr>
          </w:p>
        </w:tc>
      </w:tr>
      <w:tr>
        <w:tblPrEx>
          <w:tblCellMar>
            <w:top w:w="0" w:type="dxa"/>
            <w:left w:w="0" w:type="dxa"/>
            <w:bottom w:w="0" w:type="dxa"/>
            <w:right w:w="0" w:type="dxa"/>
          </w:tblCellMar>
        </w:tblPrEx>
        <w:trPr>
          <w:trHeight w:val="765" w:hRule="atLeast"/>
        </w:trPr>
        <w:tc>
          <w:tcPr>
            <w:tcW w:w="822" w:type="dxa"/>
            <w:tcBorders>
              <w:top w:val="nil"/>
              <w:left w:val="single" w:color="000000" w:sz="8" w:space="0"/>
              <w:bottom w:val="single" w:color="auto" w:sz="4"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20</w:t>
            </w:r>
          </w:p>
        </w:tc>
        <w:tc>
          <w:tcPr>
            <w:tcW w:w="2929" w:type="dxa"/>
            <w:tcBorders>
              <w:top w:val="nil"/>
              <w:left w:val="nil"/>
              <w:bottom w:val="single" w:color="auto" w:sz="4"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不间断电源（UPS）</w:t>
            </w:r>
          </w:p>
        </w:tc>
        <w:tc>
          <w:tcPr>
            <w:tcW w:w="2351" w:type="dxa"/>
            <w:tcBorders>
              <w:top w:val="nil"/>
              <w:left w:val="nil"/>
              <w:bottom w:val="single" w:color="auto" w:sz="4"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A02061504</w:t>
            </w:r>
          </w:p>
        </w:tc>
        <w:tc>
          <w:tcPr>
            <w:tcW w:w="3221" w:type="dxa"/>
            <w:tcBorders>
              <w:top w:val="nil"/>
              <w:left w:val="nil"/>
              <w:bottom w:val="single" w:color="auto" w:sz="4" w:space="0"/>
              <w:right w:val="single" w:color="000000" w:sz="8" w:space="0"/>
            </w:tcBorders>
            <w:shd w:val="clear" w:color="auto" w:fill="FFFFFF"/>
            <w:noWrap w:val="0"/>
            <w:tcMar>
              <w:top w:w="15" w:type="dxa"/>
              <w:left w:w="15" w:type="dxa"/>
              <w:right w:w="15" w:type="dxa"/>
            </w:tcMar>
            <w:vAlign w:val="center"/>
          </w:tcPr>
          <w:p>
            <w:pPr>
              <w:spacing w:line="520" w:lineRule="atLeast"/>
              <w:jc w:val="center"/>
              <w:rPr>
                <w:rFonts w:hint="default" w:ascii="Times New Roman" w:hAnsi="Times New Roman" w:eastAsia="仿宋_GB2312" w:cs="Times New Roman"/>
                <w:color w:val="000000"/>
                <w:sz w:val="28"/>
                <w:szCs w:val="28"/>
              </w:rPr>
            </w:pPr>
          </w:p>
        </w:tc>
      </w:tr>
      <w:tr>
        <w:tblPrEx>
          <w:tblCellMar>
            <w:top w:w="0" w:type="dxa"/>
            <w:left w:w="0" w:type="dxa"/>
            <w:bottom w:w="0" w:type="dxa"/>
            <w:right w:w="0" w:type="dxa"/>
          </w:tblCellMar>
        </w:tblPrEx>
        <w:trPr>
          <w:trHeight w:val="1140" w:hRule="atLeast"/>
        </w:trPr>
        <w:tc>
          <w:tcPr>
            <w:tcW w:w="822" w:type="dxa"/>
            <w:tcBorders>
              <w:top w:val="single" w:color="auto" w:sz="4" w:space="0"/>
              <w:left w:val="single" w:color="auto" w:sz="4"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21</w:t>
            </w:r>
          </w:p>
        </w:tc>
        <w:tc>
          <w:tcPr>
            <w:tcW w:w="2929" w:type="dxa"/>
            <w:tcBorders>
              <w:top w:val="single" w:color="auto" w:sz="4"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空调机</w:t>
            </w:r>
          </w:p>
        </w:tc>
        <w:tc>
          <w:tcPr>
            <w:tcW w:w="2351" w:type="dxa"/>
            <w:tcBorders>
              <w:top w:val="single" w:color="auto" w:sz="4"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A0206180203</w:t>
            </w:r>
          </w:p>
        </w:tc>
        <w:tc>
          <w:tcPr>
            <w:tcW w:w="3221" w:type="dxa"/>
            <w:tcBorders>
              <w:top w:val="single" w:color="auto" w:sz="4" w:space="0"/>
              <w:left w:val="nil"/>
              <w:bottom w:val="single" w:color="000000" w:sz="8" w:space="0"/>
              <w:right w:val="single" w:color="auto" w:sz="4"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不包括中央空调、多联式空调、精密空调</w:t>
            </w:r>
          </w:p>
        </w:tc>
      </w:tr>
      <w:tr>
        <w:tblPrEx>
          <w:tblCellMar>
            <w:top w:w="0" w:type="dxa"/>
            <w:left w:w="0" w:type="dxa"/>
            <w:bottom w:w="0" w:type="dxa"/>
            <w:right w:w="0" w:type="dxa"/>
          </w:tblCellMar>
        </w:tblPrEx>
        <w:trPr>
          <w:trHeight w:val="765" w:hRule="atLeast"/>
        </w:trPr>
        <w:tc>
          <w:tcPr>
            <w:tcW w:w="822" w:type="dxa"/>
            <w:tcBorders>
              <w:top w:val="nil"/>
              <w:left w:val="single" w:color="auto" w:sz="4" w:space="0"/>
              <w:bottom w:val="single" w:color="auto" w:sz="4"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22</w:t>
            </w:r>
          </w:p>
        </w:tc>
        <w:tc>
          <w:tcPr>
            <w:tcW w:w="2929" w:type="dxa"/>
            <w:tcBorders>
              <w:top w:val="nil"/>
              <w:left w:val="nil"/>
              <w:bottom w:val="single" w:color="auto" w:sz="4"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视频会议系统设备</w:t>
            </w:r>
          </w:p>
        </w:tc>
        <w:tc>
          <w:tcPr>
            <w:tcW w:w="2351" w:type="dxa"/>
            <w:tcBorders>
              <w:top w:val="nil"/>
              <w:left w:val="nil"/>
              <w:bottom w:val="single" w:color="auto" w:sz="4"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A020808</w:t>
            </w:r>
          </w:p>
        </w:tc>
        <w:tc>
          <w:tcPr>
            <w:tcW w:w="3221" w:type="dxa"/>
            <w:tcBorders>
              <w:top w:val="nil"/>
              <w:left w:val="nil"/>
              <w:bottom w:val="single" w:color="auto" w:sz="4" w:space="0"/>
              <w:right w:val="single" w:color="auto" w:sz="4" w:space="0"/>
            </w:tcBorders>
            <w:shd w:val="clear" w:color="auto" w:fill="FFFFFF"/>
            <w:noWrap w:val="0"/>
            <w:tcMar>
              <w:top w:w="15" w:type="dxa"/>
              <w:left w:w="15" w:type="dxa"/>
              <w:right w:w="15" w:type="dxa"/>
            </w:tcMar>
            <w:vAlign w:val="center"/>
          </w:tcPr>
          <w:p>
            <w:pPr>
              <w:spacing w:line="520" w:lineRule="atLeast"/>
              <w:jc w:val="center"/>
              <w:rPr>
                <w:rFonts w:hint="default" w:ascii="Times New Roman" w:hAnsi="Times New Roman" w:eastAsia="仿宋_GB2312" w:cs="Times New Roman"/>
                <w:color w:val="000000"/>
                <w:sz w:val="28"/>
                <w:szCs w:val="28"/>
              </w:rPr>
            </w:pPr>
          </w:p>
        </w:tc>
      </w:tr>
      <w:tr>
        <w:tblPrEx>
          <w:tblCellMar>
            <w:top w:w="0" w:type="dxa"/>
            <w:left w:w="0" w:type="dxa"/>
            <w:bottom w:w="0" w:type="dxa"/>
            <w:right w:w="0" w:type="dxa"/>
          </w:tblCellMar>
        </w:tblPrEx>
        <w:trPr>
          <w:trHeight w:val="1890" w:hRule="atLeast"/>
        </w:trPr>
        <w:tc>
          <w:tcPr>
            <w:tcW w:w="822" w:type="dxa"/>
            <w:tcBorders>
              <w:top w:val="single" w:color="auto" w:sz="4"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23</w:t>
            </w:r>
          </w:p>
        </w:tc>
        <w:tc>
          <w:tcPr>
            <w:tcW w:w="2929" w:type="dxa"/>
            <w:tcBorders>
              <w:top w:val="single" w:color="auto" w:sz="4"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办公家具</w:t>
            </w:r>
          </w:p>
        </w:tc>
        <w:tc>
          <w:tcPr>
            <w:tcW w:w="2351" w:type="dxa"/>
            <w:tcBorders>
              <w:top w:val="single" w:color="auto" w:sz="4"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A06</w:t>
            </w:r>
          </w:p>
        </w:tc>
        <w:tc>
          <w:tcPr>
            <w:tcW w:w="3221" w:type="dxa"/>
            <w:tcBorders>
              <w:top w:val="single" w:color="auto" w:sz="4"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指木制或木制为主、钢制或钢制为主、铝制或铝制为主的办公家具</w:t>
            </w:r>
          </w:p>
        </w:tc>
      </w:tr>
      <w:tr>
        <w:tblPrEx>
          <w:tblCellMar>
            <w:top w:w="0" w:type="dxa"/>
            <w:left w:w="0" w:type="dxa"/>
            <w:bottom w:w="0" w:type="dxa"/>
            <w:right w:w="0" w:type="dxa"/>
          </w:tblCellMar>
        </w:tblPrEx>
        <w:trPr>
          <w:trHeight w:val="390" w:hRule="atLeast"/>
        </w:trPr>
        <w:tc>
          <w:tcPr>
            <w:tcW w:w="822" w:type="dxa"/>
            <w:tcBorders>
              <w:top w:val="nil"/>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24</w:t>
            </w:r>
          </w:p>
        </w:tc>
        <w:tc>
          <w:tcPr>
            <w:tcW w:w="2929"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复印纸</w:t>
            </w:r>
          </w:p>
        </w:tc>
        <w:tc>
          <w:tcPr>
            <w:tcW w:w="235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A090101</w:t>
            </w:r>
          </w:p>
        </w:tc>
        <w:tc>
          <w:tcPr>
            <w:tcW w:w="322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spacing w:line="520" w:lineRule="atLeast"/>
              <w:jc w:val="center"/>
              <w:rPr>
                <w:rFonts w:hint="default" w:ascii="Times New Roman" w:hAnsi="Times New Roman" w:eastAsia="仿宋_GB2312" w:cs="Times New Roman"/>
                <w:color w:val="000000"/>
                <w:sz w:val="28"/>
                <w:szCs w:val="28"/>
              </w:rPr>
            </w:pPr>
          </w:p>
        </w:tc>
      </w:tr>
      <w:tr>
        <w:tblPrEx>
          <w:tblCellMar>
            <w:top w:w="0" w:type="dxa"/>
            <w:left w:w="0" w:type="dxa"/>
            <w:bottom w:w="0" w:type="dxa"/>
            <w:right w:w="0" w:type="dxa"/>
          </w:tblCellMar>
        </w:tblPrEx>
        <w:trPr>
          <w:trHeight w:val="1515" w:hRule="atLeast"/>
        </w:trPr>
        <w:tc>
          <w:tcPr>
            <w:tcW w:w="822" w:type="dxa"/>
            <w:tcBorders>
              <w:top w:val="nil"/>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25</w:t>
            </w:r>
          </w:p>
        </w:tc>
        <w:tc>
          <w:tcPr>
            <w:tcW w:w="2929"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装修工程</w:t>
            </w:r>
          </w:p>
        </w:tc>
        <w:tc>
          <w:tcPr>
            <w:tcW w:w="235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B07</w:t>
            </w:r>
          </w:p>
        </w:tc>
        <w:tc>
          <w:tcPr>
            <w:tcW w:w="322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both"/>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指与一般的建筑物、构筑物新建、改建、扩建无关的单独的装修工程。</w:t>
            </w:r>
          </w:p>
        </w:tc>
      </w:tr>
      <w:tr>
        <w:tblPrEx>
          <w:tblCellMar>
            <w:top w:w="0" w:type="dxa"/>
            <w:left w:w="0" w:type="dxa"/>
            <w:bottom w:w="0" w:type="dxa"/>
            <w:right w:w="0" w:type="dxa"/>
          </w:tblCellMar>
        </w:tblPrEx>
        <w:trPr>
          <w:trHeight w:val="1515" w:hRule="atLeast"/>
        </w:trPr>
        <w:tc>
          <w:tcPr>
            <w:tcW w:w="822" w:type="dxa"/>
            <w:tcBorders>
              <w:top w:val="nil"/>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26</w:t>
            </w:r>
          </w:p>
        </w:tc>
        <w:tc>
          <w:tcPr>
            <w:tcW w:w="2929"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修缮工程</w:t>
            </w:r>
          </w:p>
        </w:tc>
        <w:tc>
          <w:tcPr>
            <w:tcW w:w="235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B08</w:t>
            </w:r>
          </w:p>
        </w:tc>
        <w:tc>
          <w:tcPr>
            <w:tcW w:w="322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both"/>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指与一般的建筑物、构筑物新建、改建、扩建无关的单独的修缮工程。文物保护工程按照行业管理相关规定组织实施。</w:t>
            </w:r>
          </w:p>
        </w:tc>
      </w:tr>
      <w:tr>
        <w:tblPrEx>
          <w:tblCellMar>
            <w:top w:w="0" w:type="dxa"/>
            <w:left w:w="0" w:type="dxa"/>
            <w:bottom w:w="0" w:type="dxa"/>
            <w:right w:w="0" w:type="dxa"/>
          </w:tblCellMar>
        </w:tblPrEx>
        <w:trPr>
          <w:trHeight w:val="765" w:hRule="atLeast"/>
        </w:trPr>
        <w:tc>
          <w:tcPr>
            <w:tcW w:w="822" w:type="dxa"/>
            <w:tcBorders>
              <w:top w:val="nil"/>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27</w:t>
            </w:r>
          </w:p>
        </w:tc>
        <w:tc>
          <w:tcPr>
            <w:tcW w:w="2929"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互联网接入服务</w:t>
            </w:r>
          </w:p>
        </w:tc>
        <w:tc>
          <w:tcPr>
            <w:tcW w:w="235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C030102</w:t>
            </w:r>
          </w:p>
        </w:tc>
        <w:tc>
          <w:tcPr>
            <w:tcW w:w="322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spacing w:line="520" w:lineRule="atLeast"/>
              <w:jc w:val="center"/>
              <w:rPr>
                <w:rFonts w:hint="default" w:ascii="Times New Roman" w:hAnsi="Times New Roman" w:eastAsia="仿宋_GB2312" w:cs="Times New Roman"/>
                <w:color w:val="000000"/>
                <w:sz w:val="28"/>
                <w:szCs w:val="28"/>
              </w:rPr>
            </w:pPr>
          </w:p>
        </w:tc>
      </w:tr>
      <w:tr>
        <w:tblPrEx>
          <w:tblCellMar>
            <w:top w:w="0" w:type="dxa"/>
            <w:left w:w="0" w:type="dxa"/>
            <w:bottom w:w="0" w:type="dxa"/>
            <w:right w:w="0" w:type="dxa"/>
          </w:tblCellMar>
        </w:tblPrEx>
        <w:trPr>
          <w:trHeight w:val="390" w:hRule="atLeast"/>
        </w:trPr>
        <w:tc>
          <w:tcPr>
            <w:tcW w:w="822" w:type="dxa"/>
            <w:tcBorders>
              <w:top w:val="nil"/>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28</w:t>
            </w:r>
          </w:p>
        </w:tc>
        <w:tc>
          <w:tcPr>
            <w:tcW w:w="2929"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法律服务</w:t>
            </w:r>
          </w:p>
        </w:tc>
        <w:tc>
          <w:tcPr>
            <w:tcW w:w="235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C0801</w:t>
            </w:r>
          </w:p>
        </w:tc>
        <w:tc>
          <w:tcPr>
            <w:tcW w:w="322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spacing w:line="520" w:lineRule="atLeast"/>
              <w:jc w:val="center"/>
              <w:rPr>
                <w:rFonts w:hint="default" w:ascii="Times New Roman" w:hAnsi="Times New Roman" w:eastAsia="仿宋_GB2312" w:cs="Times New Roman"/>
                <w:color w:val="000000"/>
                <w:sz w:val="28"/>
                <w:szCs w:val="28"/>
              </w:rPr>
            </w:pPr>
          </w:p>
        </w:tc>
      </w:tr>
      <w:tr>
        <w:tblPrEx>
          <w:tblCellMar>
            <w:top w:w="0" w:type="dxa"/>
            <w:left w:w="0" w:type="dxa"/>
            <w:bottom w:w="0" w:type="dxa"/>
            <w:right w:w="0" w:type="dxa"/>
          </w:tblCellMar>
        </w:tblPrEx>
        <w:trPr>
          <w:trHeight w:val="390" w:hRule="atLeast"/>
        </w:trPr>
        <w:tc>
          <w:tcPr>
            <w:tcW w:w="822" w:type="dxa"/>
            <w:tcBorders>
              <w:top w:val="nil"/>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29</w:t>
            </w:r>
          </w:p>
        </w:tc>
        <w:tc>
          <w:tcPr>
            <w:tcW w:w="2929"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审计服务</w:t>
            </w:r>
          </w:p>
        </w:tc>
        <w:tc>
          <w:tcPr>
            <w:tcW w:w="235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C0803</w:t>
            </w:r>
          </w:p>
        </w:tc>
        <w:tc>
          <w:tcPr>
            <w:tcW w:w="3221"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spacing w:line="520" w:lineRule="atLeast"/>
              <w:jc w:val="center"/>
              <w:rPr>
                <w:rFonts w:hint="default" w:ascii="Times New Roman" w:hAnsi="Times New Roman" w:eastAsia="仿宋_GB2312" w:cs="Times New Roman"/>
                <w:color w:val="000000"/>
                <w:sz w:val="28"/>
                <w:szCs w:val="28"/>
              </w:rPr>
            </w:pPr>
          </w:p>
        </w:tc>
      </w:tr>
      <w:tr>
        <w:tblPrEx>
          <w:tblCellMar>
            <w:top w:w="0" w:type="dxa"/>
            <w:left w:w="0" w:type="dxa"/>
            <w:bottom w:w="0" w:type="dxa"/>
            <w:right w:w="0" w:type="dxa"/>
          </w:tblCellMar>
        </w:tblPrEx>
        <w:trPr>
          <w:trHeight w:val="765" w:hRule="atLeast"/>
        </w:trPr>
        <w:tc>
          <w:tcPr>
            <w:tcW w:w="822" w:type="dxa"/>
            <w:tcBorders>
              <w:top w:val="nil"/>
              <w:left w:val="single" w:color="000000" w:sz="8" w:space="0"/>
              <w:bottom w:val="single" w:color="auto" w:sz="4"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30</w:t>
            </w:r>
          </w:p>
        </w:tc>
        <w:tc>
          <w:tcPr>
            <w:tcW w:w="2929" w:type="dxa"/>
            <w:tcBorders>
              <w:top w:val="nil"/>
              <w:left w:val="nil"/>
              <w:bottom w:val="single" w:color="auto" w:sz="4"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资产及其他评估服务</w:t>
            </w:r>
          </w:p>
        </w:tc>
        <w:tc>
          <w:tcPr>
            <w:tcW w:w="2351" w:type="dxa"/>
            <w:tcBorders>
              <w:top w:val="nil"/>
              <w:left w:val="nil"/>
              <w:bottom w:val="single" w:color="auto" w:sz="4"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C0805</w:t>
            </w:r>
          </w:p>
        </w:tc>
        <w:tc>
          <w:tcPr>
            <w:tcW w:w="3221" w:type="dxa"/>
            <w:tcBorders>
              <w:top w:val="nil"/>
              <w:left w:val="nil"/>
              <w:bottom w:val="single" w:color="auto" w:sz="4" w:space="0"/>
              <w:right w:val="single" w:color="000000" w:sz="8" w:space="0"/>
            </w:tcBorders>
            <w:shd w:val="clear" w:color="auto" w:fill="FFFFFF"/>
            <w:noWrap w:val="0"/>
            <w:tcMar>
              <w:top w:w="15" w:type="dxa"/>
              <w:left w:w="15" w:type="dxa"/>
              <w:right w:w="15" w:type="dxa"/>
            </w:tcMar>
            <w:vAlign w:val="center"/>
          </w:tcPr>
          <w:p>
            <w:pPr>
              <w:spacing w:line="520" w:lineRule="atLeast"/>
              <w:jc w:val="center"/>
              <w:rPr>
                <w:rFonts w:hint="default" w:ascii="Times New Roman" w:hAnsi="Times New Roman" w:eastAsia="仿宋_GB2312" w:cs="Times New Roman"/>
                <w:color w:val="000000"/>
                <w:sz w:val="28"/>
                <w:szCs w:val="28"/>
              </w:rPr>
            </w:pPr>
          </w:p>
        </w:tc>
      </w:tr>
      <w:tr>
        <w:tblPrEx>
          <w:tblCellMar>
            <w:top w:w="0" w:type="dxa"/>
            <w:left w:w="0" w:type="dxa"/>
            <w:bottom w:w="0" w:type="dxa"/>
            <w:right w:w="0" w:type="dxa"/>
          </w:tblCellMar>
        </w:tblPrEx>
        <w:trPr>
          <w:trHeight w:val="3015" w:hRule="atLeast"/>
        </w:trPr>
        <w:tc>
          <w:tcPr>
            <w:tcW w:w="822" w:type="dxa"/>
            <w:tcBorders>
              <w:top w:val="single" w:color="auto" w:sz="4" w:space="0"/>
              <w:left w:val="single" w:color="auto" w:sz="4" w:space="0"/>
              <w:bottom w:val="single" w:color="auto" w:sz="4"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31</w:t>
            </w:r>
          </w:p>
        </w:tc>
        <w:tc>
          <w:tcPr>
            <w:tcW w:w="2929" w:type="dxa"/>
            <w:tcBorders>
              <w:top w:val="single" w:color="auto" w:sz="4" w:space="0"/>
              <w:left w:val="nil"/>
              <w:bottom w:val="single" w:color="auto" w:sz="4"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印刷服务</w:t>
            </w:r>
          </w:p>
        </w:tc>
        <w:tc>
          <w:tcPr>
            <w:tcW w:w="2351" w:type="dxa"/>
            <w:tcBorders>
              <w:top w:val="single" w:color="auto" w:sz="4" w:space="0"/>
              <w:left w:val="nil"/>
              <w:bottom w:val="single" w:color="auto" w:sz="4"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C081401</w:t>
            </w:r>
          </w:p>
        </w:tc>
        <w:tc>
          <w:tcPr>
            <w:tcW w:w="3221" w:type="dxa"/>
            <w:tcBorders>
              <w:top w:val="single" w:color="auto" w:sz="4" w:space="0"/>
              <w:left w:val="nil"/>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指本单位文印部门不能承担的票据、证书、期刊、文件、公文用纸、资料汇编、信封等印刷业务（不包括出版服务）</w:t>
            </w:r>
          </w:p>
        </w:tc>
      </w:tr>
      <w:tr>
        <w:tblPrEx>
          <w:tblCellMar>
            <w:top w:w="0" w:type="dxa"/>
            <w:left w:w="0" w:type="dxa"/>
            <w:bottom w:w="0" w:type="dxa"/>
            <w:right w:w="0" w:type="dxa"/>
          </w:tblCellMar>
        </w:tblPrEx>
        <w:trPr>
          <w:trHeight w:val="3575" w:hRule="atLeast"/>
        </w:trPr>
        <w:tc>
          <w:tcPr>
            <w:tcW w:w="822" w:type="dxa"/>
            <w:tcBorders>
              <w:top w:val="single" w:color="auto" w:sz="4" w:space="0"/>
              <w:left w:val="single" w:color="auto" w:sz="4" w:space="0"/>
              <w:bottom w:val="single" w:color="auto" w:sz="4"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32</w:t>
            </w:r>
          </w:p>
        </w:tc>
        <w:tc>
          <w:tcPr>
            <w:tcW w:w="2929" w:type="dxa"/>
            <w:tcBorders>
              <w:top w:val="single" w:color="auto" w:sz="4" w:space="0"/>
              <w:left w:val="nil"/>
              <w:bottom w:val="single" w:color="auto" w:sz="4"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物业管理服务</w:t>
            </w:r>
          </w:p>
        </w:tc>
        <w:tc>
          <w:tcPr>
            <w:tcW w:w="2351" w:type="dxa"/>
            <w:tcBorders>
              <w:top w:val="single" w:color="auto" w:sz="4" w:space="0"/>
              <w:left w:val="nil"/>
              <w:bottom w:val="single" w:color="auto" w:sz="4"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C1204</w:t>
            </w:r>
          </w:p>
        </w:tc>
        <w:tc>
          <w:tcPr>
            <w:tcW w:w="3221" w:type="dxa"/>
            <w:tcBorders>
              <w:top w:val="single" w:color="auto" w:sz="4" w:space="0"/>
              <w:left w:val="nil"/>
              <w:bottom w:val="single" w:color="auto" w:sz="4" w:space="0"/>
              <w:right w:val="single" w:color="000000" w:sz="8" w:space="0"/>
            </w:tcBorders>
            <w:shd w:val="clear" w:color="auto" w:fill="FFFFFF"/>
            <w:noWrap w:val="0"/>
            <w:tcMar>
              <w:top w:w="15" w:type="dxa"/>
              <w:left w:w="15" w:type="dxa"/>
              <w:right w:w="15" w:type="dxa"/>
            </w:tcMar>
            <w:vAlign w:val="center"/>
          </w:tcPr>
          <w:p>
            <w:pPr>
              <w:widowControl/>
              <w:spacing w:line="520" w:lineRule="atLeas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bidi="ar"/>
              </w:rPr>
              <w:t>指本单位不能承担的办公场所水电供应、设备运行、门窗保养维护、保洁、保安、绿化养护的物业管理及服务（单独实施的保安服务项目除外）</w:t>
            </w:r>
          </w:p>
        </w:tc>
      </w:tr>
    </w:tbl>
    <w:p>
      <w:pPr>
        <w:spacing w:line="520" w:lineRule="atLeast"/>
        <w:ind w:left="202" w:leftChars="-37" w:hanging="320" w:hangingChars="100"/>
        <w:jc w:val="both"/>
        <w:rPr>
          <w:rFonts w:hint="default" w:ascii="Times New Roman" w:hAnsi="Times New Roman" w:cs="Times New Roman"/>
          <w:color w:val="000000"/>
        </w:rPr>
      </w:pPr>
      <w:r>
        <w:rPr>
          <w:rFonts w:hint="default" w:ascii="Times New Roman" w:hAnsi="Times New Roman" w:cs="Times New Roman"/>
          <w:color w:val="000000"/>
        </w:rPr>
        <w:t>注：</w:t>
      </w:r>
    </w:p>
    <w:p>
      <w:pPr>
        <w:numPr>
          <w:ilvl w:val="0"/>
          <w:numId w:val="1"/>
        </w:numPr>
        <w:spacing w:line="520" w:lineRule="atLeast"/>
        <w:ind w:left="80" w:leftChars="25" w:firstLine="640" w:firstLineChars="200"/>
        <w:jc w:val="both"/>
        <w:rPr>
          <w:rFonts w:hint="default" w:ascii="Times New Roman" w:hAnsi="Times New Roman" w:cs="Times New Roman"/>
          <w:color w:val="000000"/>
        </w:rPr>
      </w:pPr>
      <w:r>
        <w:rPr>
          <w:rFonts w:hint="default" w:ascii="Times New Roman" w:hAnsi="Times New Roman" w:cs="Times New Roman"/>
          <w:color w:val="000000"/>
        </w:rPr>
        <w:t>表中所列项目根据财政部《政府采购品目分类目录》（财库〔2013〕189号）制定，除我</w:t>
      </w:r>
      <w:r>
        <w:rPr>
          <w:rFonts w:hint="default" w:ascii="Times New Roman" w:hAnsi="Times New Roman" w:cs="Times New Roman"/>
          <w:color w:val="000000"/>
          <w:lang w:eastAsia="zh-CN"/>
        </w:rPr>
        <w:t>市</w:t>
      </w:r>
      <w:r>
        <w:rPr>
          <w:rFonts w:hint="default" w:ascii="Times New Roman" w:hAnsi="Times New Roman" w:cs="Times New Roman"/>
          <w:color w:val="000000"/>
        </w:rPr>
        <w:t>另有补充说明外，各品目具体内容按照财政部《政府采购品目分类目录》。</w:t>
      </w:r>
    </w:p>
    <w:p>
      <w:pPr>
        <w:spacing w:line="520" w:lineRule="atLeast"/>
        <w:ind w:left="80" w:leftChars="25" w:firstLine="640" w:firstLineChars="200"/>
        <w:rPr>
          <w:rFonts w:hint="default" w:ascii="Times New Roman" w:hAnsi="Times New Roman" w:cs="Times New Roman"/>
          <w:color w:val="000000"/>
        </w:rPr>
      </w:pPr>
      <w:r>
        <w:rPr>
          <w:rFonts w:hint="default" w:ascii="Times New Roman" w:hAnsi="Times New Roman" w:cs="Times New Roman"/>
          <w:color w:val="000000"/>
        </w:rPr>
        <w:t>2.表中所列项目不包括部门集中采购项目和高校、科研机构所采购的科研仪器设备。</w:t>
      </w:r>
    </w:p>
    <w:p>
      <w:pPr>
        <w:keepNext w:val="0"/>
        <w:keepLines w:val="0"/>
        <w:pageBreakBefore w:val="0"/>
        <w:kinsoku/>
        <w:wordWrap/>
        <w:overflowPunct/>
        <w:topLinePunct w:val="0"/>
        <w:autoSpaceDE/>
        <w:autoSpaceDN/>
        <w:bidi w:val="0"/>
        <w:adjustRightInd w:val="0"/>
        <w:snapToGrid w:val="0"/>
        <w:spacing w:line="520" w:lineRule="atLeast"/>
        <w:ind w:firstLine="640" w:firstLineChars="200"/>
        <w:rPr>
          <w:rFonts w:hint="default" w:ascii="Times New Roman" w:hAnsi="Times New Roman" w:eastAsia="黑体" w:cs="Times New Roman"/>
          <w:color w:val="000000"/>
        </w:rPr>
      </w:pPr>
      <w:r>
        <w:rPr>
          <w:rFonts w:hint="default" w:ascii="Times New Roman" w:hAnsi="Times New Roman" w:eastAsia="黑体" w:cs="Times New Roman"/>
          <w:color w:val="000000"/>
        </w:rPr>
        <w:t>二、部门集中采购</w:t>
      </w:r>
    </w:p>
    <w:p>
      <w:pPr>
        <w:keepNext w:val="0"/>
        <w:keepLines w:val="0"/>
        <w:pageBreakBefore w:val="0"/>
        <w:kinsoku/>
        <w:wordWrap/>
        <w:overflowPunct/>
        <w:topLinePunct w:val="0"/>
        <w:autoSpaceDE/>
        <w:autoSpaceDN/>
        <w:bidi w:val="0"/>
        <w:adjustRightInd w:val="0"/>
        <w:snapToGrid w:val="0"/>
        <w:spacing w:line="520" w:lineRule="atLeast"/>
        <w:ind w:firstLine="640" w:firstLineChars="200"/>
        <w:rPr>
          <w:rFonts w:hint="default" w:ascii="Times New Roman" w:hAnsi="Times New Roman" w:cs="Times New Roman"/>
          <w:color w:val="000000"/>
        </w:rPr>
      </w:pPr>
      <w:r>
        <w:rPr>
          <w:rFonts w:hint="default" w:ascii="Times New Roman" w:hAnsi="Times New Roman" w:cs="Times New Roman"/>
          <w:color w:val="000000"/>
        </w:rPr>
        <w:t>为落实“放管服”改革精神，本集中采购目录不包含部门集中采购项目。各级主管预算单位对本部门或系统有特殊要求，需要统一配置的货物、工程和服务类专用项目，可结合实际工作需要自行确定本部门或系统的部门集中采购项目范围及限额标准，报同级财政部门备案后实施。部门集中采购项目的限额标准不得高于分散采购限额标准。</w:t>
      </w:r>
    </w:p>
    <w:p>
      <w:pPr>
        <w:keepNext w:val="0"/>
        <w:keepLines w:val="0"/>
        <w:pageBreakBefore w:val="0"/>
        <w:kinsoku/>
        <w:wordWrap/>
        <w:overflowPunct/>
        <w:topLinePunct w:val="0"/>
        <w:autoSpaceDE/>
        <w:autoSpaceDN/>
        <w:bidi w:val="0"/>
        <w:adjustRightInd w:val="0"/>
        <w:snapToGrid w:val="0"/>
        <w:spacing w:line="520" w:lineRule="atLeast"/>
        <w:ind w:firstLine="640" w:firstLineChars="200"/>
        <w:rPr>
          <w:rFonts w:hint="default" w:ascii="Times New Roman" w:hAnsi="Times New Roman" w:eastAsia="黑体" w:cs="Times New Roman"/>
          <w:color w:val="000000"/>
        </w:rPr>
      </w:pPr>
      <w:r>
        <w:rPr>
          <w:rFonts w:hint="default" w:ascii="Times New Roman" w:hAnsi="Times New Roman" w:eastAsia="黑体" w:cs="Times New Roman"/>
          <w:color w:val="000000"/>
        </w:rPr>
        <w:t>三、分散采购限额标准</w:t>
      </w:r>
    </w:p>
    <w:p>
      <w:pPr>
        <w:keepNext w:val="0"/>
        <w:keepLines w:val="0"/>
        <w:pageBreakBefore w:val="0"/>
        <w:kinsoku/>
        <w:wordWrap/>
        <w:overflowPunct/>
        <w:topLinePunct w:val="0"/>
        <w:autoSpaceDE/>
        <w:autoSpaceDN/>
        <w:bidi w:val="0"/>
        <w:adjustRightInd w:val="0"/>
        <w:snapToGrid w:val="0"/>
        <w:spacing w:line="520" w:lineRule="atLeast"/>
        <w:ind w:firstLine="640" w:firstLineChars="200"/>
        <w:rPr>
          <w:rFonts w:hint="default" w:ascii="Times New Roman" w:hAnsi="Times New Roman" w:cs="Times New Roman"/>
          <w:color w:val="000000"/>
        </w:rPr>
      </w:pPr>
      <w:r>
        <w:rPr>
          <w:rFonts w:hint="default" w:ascii="Times New Roman" w:hAnsi="Times New Roman" w:cs="Times New Roman"/>
          <w:color w:val="000000"/>
        </w:rPr>
        <w:t>除集中采购机构采购项目和部门集中采购项目外，一个财政年度内一个预算项目下的同一品目或类别的采购金额达到100万元以上（含100万元，下同）的货物和服务项目应执行《中华人民共和国政府采购法》有关规定，实行分散采购。</w:t>
      </w:r>
    </w:p>
    <w:p>
      <w:pPr>
        <w:keepNext w:val="0"/>
        <w:keepLines w:val="0"/>
        <w:pageBreakBefore w:val="0"/>
        <w:kinsoku/>
        <w:wordWrap/>
        <w:overflowPunct/>
        <w:topLinePunct w:val="0"/>
        <w:autoSpaceDE/>
        <w:autoSpaceDN/>
        <w:bidi w:val="0"/>
        <w:adjustRightInd w:val="0"/>
        <w:snapToGrid w:val="0"/>
        <w:spacing w:line="520" w:lineRule="atLeast"/>
        <w:ind w:firstLine="640" w:firstLineChars="200"/>
        <w:rPr>
          <w:rFonts w:hint="default" w:ascii="Times New Roman" w:hAnsi="Times New Roman" w:eastAsia="黑体" w:cs="Times New Roman"/>
          <w:color w:val="000000"/>
        </w:rPr>
      </w:pPr>
      <w:r>
        <w:rPr>
          <w:rFonts w:hint="default" w:ascii="Times New Roman" w:hAnsi="Times New Roman" w:eastAsia="黑体" w:cs="Times New Roman"/>
          <w:color w:val="000000"/>
        </w:rPr>
        <w:t>四、公开招标数额标准</w:t>
      </w:r>
    </w:p>
    <w:p>
      <w:pPr>
        <w:keepNext w:val="0"/>
        <w:keepLines w:val="0"/>
        <w:pageBreakBefore w:val="0"/>
        <w:kinsoku/>
        <w:wordWrap/>
        <w:overflowPunct/>
        <w:topLinePunct w:val="0"/>
        <w:autoSpaceDE/>
        <w:autoSpaceDN/>
        <w:bidi w:val="0"/>
        <w:adjustRightInd w:val="0"/>
        <w:snapToGrid w:val="0"/>
        <w:spacing w:line="520" w:lineRule="atLeast"/>
        <w:ind w:firstLine="640" w:firstLineChars="200"/>
        <w:rPr>
          <w:rFonts w:hint="default" w:ascii="Times New Roman" w:hAnsi="Times New Roman" w:cs="Times New Roman"/>
          <w:color w:val="000000"/>
        </w:rPr>
      </w:pPr>
      <w:r>
        <w:rPr>
          <w:rFonts w:hint="default" w:ascii="Times New Roman" w:hAnsi="Times New Roman" w:cs="Times New Roman"/>
          <w:color w:val="000000"/>
        </w:rPr>
        <w:t>（一）货物和服务类</w:t>
      </w:r>
    </w:p>
    <w:p>
      <w:pPr>
        <w:keepNext w:val="0"/>
        <w:keepLines w:val="0"/>
        <w:pageBreakBefore w:val="0"/>
        <w:kinsoku/>
        <w:wordWrap/>
        <w:overflowPunct/>
        <w:topLinePunct w:val="0"/>
        <w:autoSpaceDE/>
        <w:autoSpaceDN/>
        <w:bidi w:val="0"/>
        <w:adjustRightInd w:val="0"/>
        <w:snapToGrid w:val="0"/>
        <w:spacing w:line="520" w:lineRule="atLeast"/>
        <w:ind w:firstLine="640" w:firstLineChars="200"/>
        <w:rPr>
          <w:rFonts w:hint="default" w:ascii="Times New Roman" w:hAnsi="Times New Roman" w:cs="Times New Roman"/>
          <w:color w:val="000000"/>
        </w:rPr>
      </w:pPr>
      <w:r>
        <w:rPr>
          <w:rFonts w:hint="default" w:ascii="Times New Roman" w:hAnsi="Times New Roman" w:cs="Times New Roman"/>
          <w:color w:val="000000"/>
        </w:rPr>
        <w:t>货物、服务类政府采购项目，年度采购预算金额达到400万元以上的应当公开招标。</w:t>
      </w:r>
    </w:p>
    <w:p>
      <w:pPr>
        <w:keepNext w:val="0"/>
        <w:keepLines w:val="0"/>
        <w:pageBreakBefore w:val="0"/>
        <w:kinsoku/>
        <w:wordWrap/>
        <w:overflowPunct/>
        <w:topLinePunct w:val="0"/>
        <w:autoSpaceDE/>
        <w:autoSpaceDN/>
        <w:bidi w:val="0"/>
        <w:adjustRightInd w:val="0"/>
        <w:snapToGrid w:val="0"/>
        <w:spacing w:line="520" w:lineRule="atLeast"/>
        <w:ind w:firstLine="640" w:firstLineChars="200"/>
        <w:rPr>
          <w:rFonts w:hint="default" w:ascii="Times New Roman" w:hAnsi="Times New Roman" w:cs="Times New Roman"/>
          <w:color w:val="000000"/>
        </w:rPr>
      </w:pPr>
      <w:r>
        <w:rPr>
          <w:rFonts w:hint="default" w:ascii="Times New Roman" w:hAnsi="Times New Roman" w:cs="Times New Roman"/>
          <w:color w:val="000000"/>
        </w:rPr>
        <w:t>在一个财政年度内，采购人将一个预算项目下的同一品目或者类别的货物、服务采用公开招标以外的方式采购，累计资金数额超过公开招标数额标准的，属于以化整为零方式规避公开招标，但项目预算调整或者经批准采用公开招标以外方式采购除外。</w:t>
      </w:r>
    </w:p>
    <w:p>
      <w:pPr>
        <w:keepNext w:val="0"/>
        <w:keepLines w:val="0"/>
        <w:pageBreakBefore w:val="0"/>
        <w:kinsoku/>
        <w:wordWrap/>
        <w:overflowPunct/>
        <w:topLinePunct w:val="0"/>
        <w:autoSpaceDE/>
        <w:autoSpaceDN/>
        <w:bidi w:val="0"/>
        <w:adjustRightInd w:val="0"/>
        <w:snapToGrid w:val="0"/>
        <w:spacing w:line="520" w:lineRule="atLeast"/>
        <w:ind w:firstLine="640" w:firstLineChars="200"/>
        <w:rPr>
          <w:rFonts w:hint="default" w:ascii="Times New Roman" w:hAnsi="Times New Roman" w:cs="Times New Roman"/>
          <w:color w:val="000000"/>
        </w:rPr>
      </w:pPr>
      <w:r>
        <w:rPr>
          <w:rFonts w:hint="default" w:ascii="Times New Roman" w:hAnsi="Times New Roman" w:cs="Times New Roman"/>
          <w:color w:val="000000"/>
        </w:rPr>
        <w:t>（二）工程类</w:t>
      </w:r>
    </w:p>
    <w:p>
      <w:pPr>
        <w:keepNext w:val="0"/>
        <w:keepLines w:val="0"/>
        <w:pageBreakBefore w:val="0"/>
        <w:kinsoku/>
        <w:wordWrap/>
        <w:overflowPunct/>
        <w:topLinePunct w:val="0"/>
        <w:autoSpaceDE/>
        <w:autoSpaceDN/>
        <w:bidi w:val="0"/>
        <w:adjustRightInd w:val="0"/>
        <w:snapToGrid w:val="0"/>
        <w:spacing w:line="520" w:lineRule="atLeast"/>
        <w:ind w:firstLine="640" w:firstLineChars="200"/>
        <w:rPr>
          <w:rFonts w:hint="default" w:ascii="Times New Roman" w:hAnsi="Times New Roman" w:cs="Times New Roman"/>
          <w:color w:val="000000"/>
        </w:rPr>
      </w:pPr>
      <w:r>
        <w:rPr>
          <w:rFonts w:hint="default" w:ascii="Times New Roman" w:hAnsi="Times New Roman" w:cs="Times New Roman"/>
          <w:color w:val="000000"/>
        </w:rPr>
        <w:t>政府采购工程以及与工程建设有关的货物、服务，采用招标方式采购的，适用《中华人民共和国招标投标法》及其实施条例；采用其他方式采购的，适用《中华人民共和国政府采购法》及其实施条例。施工单项合同估算价400万元以上的工程项目、与工程建设有关的重要设备、材料等货物项目200万元以上的以及与工程建设有关的勘察、设计、监理服务项目100万元以上的，必须招标。</w:t>
      </w:r>
    </w:p>
    <w:p>
      <w:pPr>
        <w:keepNext w:val="0"/>
        <w:keepLines w:val="0"/>
        <w:pageBreakBefore w:val="0"/>
        <w:kinsoku/>
        <w:wordWrap/>
        <w:overflowPunct/>
        <w:topLinePunct w:val="0"/>
        <w:autoSpaceDE/>
        <w:autoSpaceDN/>
        <w:bidi w:val="0"/>
        <w:adjustRightInd w:val="0"/>
        <w:snapToGrid w:val="0"/>
        <w:spacing w:line="520" w:lineRule="atLeast"/>
        <w:ind w:firstLine="640" w:firstLineChars="200"/>
        <w:rPr>
          <w:rFonts w:hint="default" w:ascii="Times New Roman" w:hAnsi="Times New Roman" w:cs="Times New Roman"/>
          <w:color w:val="000000"/>
        </w:rPr>
      </w:pPr>
      <w:r>
        <w:rPr>
          <w:rFonts w:hint="default" w:ascii="Times New Roman" w:hAnsi="Times New Roman" w:cs="Times New Roman"/>
          <w:color w:val="000000"/>
        </w:rPr>
        <w:t>与建筑物、构筑物的新建、改建、扩建无关的单独装修、修缮工程</w:t>
      </w:r>
      <w:r>
        <w:rPr>
          <w:rFonts w:hint="default" w:ascii="Times New Roman" w:hAnsi="Times New Roman" w:cs="Times New Roman"/>
          <w:color w:val="000000"/>
          <w:lang w:eastAsia="zh-CN"/>
        </w:rPr>
        <w:t>供应商的选择</w:t>
      </w:r>
      <w:r>
        <w:rPr>
          <w:rFonts w:hint="default" w:ascii="Times New Roman" w:hAnsi="Times New Roman" w:cs="Times New Roman"/>
          <w:color w:val="000000"/>
        </w:rPr>
        <w:t>实行集中</w:t>
      </w:r>
      <w:r>
        <w:rPr>
          <w:rFonts w:hint="default" w:ascii="Times New Roman" w:hAnsi="Times New Roman" w:cs="Times New Roman"/>
          <w:color w:val="000000"/>
          <w:lang w:eastAsia="zh-CN"/>
        </w:rPr>
        <w:t>定点</w:t>
      </w:r>
      <w:r>
        <w:rPr>
          <w:rFonts w:hint="default" w:ascii="Times New Roman" w:hAnsi="Times New Roman" w:cs="Times New Roman"/>
          <w:color w:val="000000"/>
        </w:rPr>
        <w:t>采购</w:t>
      </w:r>
      <w:r>
        <w:rPr>
          <w:rFonts w:hint="default" w:ascii="Times New Roman" w:hAnsi="Times New Roman" w:cs="Times New Roman"/>
          <w:color w:val="000000"/>
          <w:lang w:eastAsia="zh-CN"/>
        </w:rPr>
        <w:t>，工程其他事宜按照建设主管部门相关规定实施。</w:t>
      </w:r>
    </w:p>
    <w:p>
      <w:pPr>
        <w:numPr>
          <w:ilvl w:val="0"/>
          <w:numId w:val="0"/>
        </w:numPr>
        <w:spacing w:line="520" w:lineRule="atLeast"/>
        <w:ind w:firstLine="640" w:firstLineChars="200"/>
        <w:rPr>
          <w:rFonts w:hint="default" w:ascii="Times New Roman" w:hAnsi="Times New Roman" w:eastAsia="黑体" w:cs="Times New Roman"/>
          <w:b w:val="0"/>
          <w:bCs w:val="0"/>
          <w:color w:val="000000"/>
          <w:highlight w:val="none"/>
          <w:lang w:eastAsia="zh-CN"/>
        </w:rPr>
      </w:pPr>
      <w:r>
        <w:rPr>
          <w:rFonts w:hint="eastAsia" w:eastAsia="黑体" w:cs="Times New Roman"/>
          <w:b w:val="0"/>
          <w:bCs w:val="0"/>
          <w:color w:val="000000"/>
          <w:highlight w:val="none"/>
          <w:lang w:eastAsia="zh-CN"/>
        </w:rPr>
        <w:t>五、</w:t>
      </w:r>
      <w:r>
        <w:rPr>
          <w:rFonts w:hint="default" w:ascii="Times New Roman" w:hAnsi="Times New Roman" w:eastAsia="黑体" w:cs="Times New Roman"/>
          <w:b w:val="0"/>
          <w:bCs w:val="0"/>
          <w:color w:val="000000"/>
          <w:highlight w:val="none"/>
          <w:lang w:eastAsia="zh-CN"/>
        </w:rPr>
        <w:t>我市自主的集中采购目录</w:t>
      </w:r>
    </w:p>
    <w:p>
      <w:pPr>
        <w:numPr>
          <w:ilvl w:val="0"/>
          <w:numId w:val="0"/>
        </w:numPr>
        <w:spacing w:line="520" w:lineRule="atLeast"/>
        <w:ind w:firstLine="0" w:firstLineChars="0"/>
        <w:rPr>
          <w:rFonts w:hint="default" w:ascii="Times New Roman" w:hAnsi="Times New Roman" w:eastAsia="黑体" w:cs="Times New Roman"/>
          <w:b w:val="0"/>
          <w:bCs w:val="0"/>
          <w:color w:val="000000"/>
          <w:lang w:eastAsia="zh-CN"/>
        </w:rPr>
      </w:pPr>
      <w:r>
        <w:rPr>
          <w:rFonts w:hint="default" w:ascii="Times New Roman" w:hAnsi="Times New Roman" w:eastAsia="黑体" w:cs="Times New Roman"/>
          <w:b w:val="0"/>
          <w:bCs w:val="0"/>
          <w:color w:val="000000"/>
          <w:lang w:val="en-US" w:eastAsia="zh-CN"/>
        </w:rPr>
        <w:t xml:space="preserve">    </w:t>
      </w:r>
      <w:r>
        <w:rPr>
          <w:rFonts w:hint="default" w:ascii="Times New Roman" w:hAnsi="Times New Roman" w:eastAsia="仿宋_GB2312" w:cs="Times New Roman"/>
          <w:b w:val="0"/>
          <w:bCs w:val="0"/>
          <w:color w:val="000000"/>
          <w:lang w:val="en-US" w:eastAsia="zh-CN"/>
        </w:rPr>
        <w:t>为配合广东政府采购智慧云平台上线工作，我市自主的</w:t>
      </w:r>
      <w:r>
        <w:rPr>
          <w:rFonts w:hint="default" w:ascii="Times New Roman" w:hAnsi="Times New Roman" w:cs="Times New Roman"/>
          <w:b w:val="0"/>
          <w:bCs w:val="0"/>
          <w:color w:val="000000"/>
          <w:lang w:val="en-US" w:eastAsia="zh-CN"/>
        </w:rPr>
        <w:t>政府</w:t>
      </w:r>
      <w:r>
        <w:rPr>
          <w:rFonts w:hint="default" w:ascii="Times New Roman" w:hAnsi="Times New Roman" w:eastAsia="仿宋_GB2312" w:cs="Times New Roman"/>
          <w:b w:val="0"/>
          <w:bCs w:val="0"/>
          <w:color w:val="000000"/>
          <w:lang w:val="en-US" w:eastAsia="zh-CN"/>
        </w:rPr>
        <w:t>集中采购目录另行通知。</w:t>
      </w:r>
    </w:p>
    <w:p>
      <w:pPr>
        <w:numPr>
          <w:ilvl w:val="0"/>
          <w:numId w:val="0"/>
        </w:numPr>
        <w:spacing w:line="520" w:lineRule="atLeast"/>
        <w:ind w:firstLine="640" w:firstLineChars="200"/>
        <w:rPr>
          <w:rFonts w:hint="default" w:ascii="Times New Roman" w:hAnsi="Times New Roman" w:eastAsia="黑体" w:cs="Times New Roman"/>
          <w:color w:val="000000"/>
          <w:highlight w:val="none"/>
        </w:rPr>
      </w:pPr>
      <w:r>
        <w:rPr>
          <w:rFonts w:hint="default" w:ascii="Times New Roman" w:hAnsi="Times New Roman" w:eastAsia="黑体" w:cs="Times New Roman"/>
          <w:b w:val="0"/>
          <w:bCs w:val="0"/>
          <w:color w:val="000000"/>
          <w:lang w:eastAsia="zh-CN"/>
        </w:rPr>
        <w:t>六、</w:t>
      </w:r>
      <w:r>
        <w:rPr>
          <w:rFonts w:hint="default" w:ascii="Times New Roman" w:hAnsi="Times New Roman" w:eastAsia="黑体" w:cs="Times New Roman"/>
          <w:color w:val="000000"/>
          <w:highlight w:val="none"/>
        </w:rPr>
        <w:t>涉密采购规定</w:t>
      </w:r>
    </w:p>
    <w:p>
      <w:pPr>
        <w:keepNext w:val="0"/>
        <w:keepLines w:val="0"/>
        <w:pageBreakBefore w:val="0"/>
        <w:kinsoku/>
        <w:wordWrap/>
        <w:overflowPunct/>
        <w:topLinePunct w:val="0"/>
        <w:autoSpaceDE/>
        <w:autoSpaceDN/>
        <w:bidi w:val="0"/>
        <w:adjustRightInd w:val="0"/>
        <w:snapToGrid w:val="0"/>
        <w:spacing w:line="520" w:lineRule="atLeast"/>
        <w:ind w:firstLine="640" w:firstLineChars="200"/>
        <w:rPr>
          <w:rFonts w:hint="default" w:ascii="Times New Roman" w:hAnsi="Times New Roman" w:cs="Times New Roman"/>
          <w:color w:val="000000"/>
          <w:highlight w:val="none"/>
        </w:rPr>
      </w:pPr>
      <w:r>
        <w:rPr>
          <w:rFonts w:hint="default" w:ascii="Times New Roman" w:hAnsi="Times New Roman" w:cs="Times New Roman"/>
          <w:color w:val="000000"/>
          <w:highlight w:val="none"/>
        </w:rPr>
        <w:t>涉密政府采购项目按照《涉密政府采购管理暂行办法》（财库〔2019〕39号）相关规定执行。</w:t>
      </w:r>
    </w:p>
    <w:p>
      <w:pPr>
        <w:keepNext w:val="0"/>
        <w:keepLines w:val="0"/>
        <w:pageBreakBefore w:val="0"/>
        <w:kinsoku/>
        <w:wordWrap/>
        <w:overflowPunct/>
        <w:topLinePunct w:val="0"/>
        <w:autoSpaceDE/>
        <w:autoSpaceDN/>
        <w:bidi w:val="0"/>
        <w:adjustRightInd w:val="0"/>
        <w:snapToGrid w:val="0"/>
        <w:spacing w:line="520" w:lineRule="atLeast"/>
        <w:ind w:firstLine="640" w:firstLineChars="200"/>
        <w:rPr>
          <w:rFonts w:hint="default" w:ascii="Times New Roman" w:hAnsi="Times New Roman" w:eastAsia="黑体" w:cs="Times New Roman"/>
          <w:color w:val="000000"/>
          <w:highlight w:val="none"/>
          <w:lang w:eastAsia="zh-CN"/>
        </w:rPr>
      </w:pPr>
      <w:r>
        <w:rPr>
          <w:rFonts w:hint="default" w:ascii="Times New Roman" w:hAnsi="Times New Roman" w:eastAsia="黑体" w:cs="Times New Roman"/>
          <w:color w:val="000000"/>
          <w:highlight w:val="none"/>
          <w:lang w:eastAsia="zh-CN"/>
        </w:rPr>
        <w:t>七</w:t>
      </w:r>
      <w:r>
        <w:rPr>
          <w:rFonts w:hint="default" w:ascii="Times New Roman" w:hAnsi="Times New Roman" w:eastAsia="黑体" w:cs="Times New Roman"/>
          <w:color w:val="000000"/>
          <w:highlight w:val="none"/>
        </w:rPr>
        <w:t>、</w:t>
      </w:r>
      <w:r>
        <w:rPr>
          <w:rFonts w:hint="default" w:ascii="Times New Roman" w:hAnsi="Times New Roman" w:eastAsia="黑体" w:cs="Times New Roman"/>
          <w:color w:val="000000"/>
          <w:highlight w:val="none"/>
          <w:lang w:eastAsia="zh-CN"/>
        </w:rPr>
        <w:t>其他</w:t>
      </w:r>
    </w:p>
    <w:p>
      <w:pPr>
        <w:spacing w:line="520" w:lineRule="atLeast"/>
        <w:ind w:firstLine="640" w:firstLineChars="200"/>
        <w:rPr>
          <w:rFonts w:hint="default" w:ascii="Times New Roman" w:hAnsi="Times New Roman" w:cs="Times New Roman"/>
        </w:rPr>
      </w:pPr>
      <w:r>
        <w:rPr>
          <w:rFonts w:hint="default" w:ascii="Times New Roman" w:hAnsi="Times New Roman" w:cs="Times New Roman"/>
          <w:color w:val="000000"/>
          <w:highlight w:val="none"/>
        </w:rPr>
        <w:t>本目录及标准自</w:t>
      </w:r>
      <w:r>
        <w:rPr>
          <w:rFonts w:hint="eastAsia" w:cs="Times New Roman"/>
          <w:color w:val="000000"/>
          <w:highlight w:val="none"/>
          <w:lang w:eastAsia="zh-CN"/>
        </w:rPr>
        <w:t>印发之日</w:t>
      </w:r>
      <w:r>
        <w:rPr>
          <w:rFonts w:hint="default" w:ascii="Times New Roman" w:hAnsi="Times New Roman" w:cs="Times New Roman"/>
          <w:color w:val="000000"/>
          <w:highlight w:val="none"/>
        </w:rPr>
        <w:t>起施行，《广州市财政局关于印发〈广州市政府集中采购目录及采购限额标准（2018年）〉的通知》（穗财采〔2018〕328号）、《广州市政府集中采购目录及采购限额标准（2018年）的补充通</w:t>
      </w:r>
      <w:r>
        <w:rPr>
          <w:rFonts w:hint="default" w:ascii="Times New Roman" w:hAnsi="Times New Roman" w:cs="Times New Roman"/>
          <w:color w:val="000000"/>
          <w:highlight w:val="none"/>
          <w:lang w:eastAsia="zh-CN"/>
        </w:rPr>
        <w:t>知</w:t>
      </w:r>
      <w:r>
        <w:rPr>
          <w:rFonts w:hint="default" w:ascii="Times New Roman" w:hAnsi="Times New Roman" w:cs="Times New Roman"/>
          <w:color w:val="000000"/>
          <w:highlight w:val="none"/>
        </w:rPr>
        <w:t>》（穗财采〔2019〕208号）同时废止。</w:t>
      </w:r>
    </w:p>
    <w:p>
      <w:pPr>
        <w:keepNext w:val="0"/>
        <w:keepLines w:val="0"/>
        <w:pageBreakBefore w:val="0"/>
        <w:kinsoku/>
        <w:wordWrap/>
        <w:overflowPunct/>
        <w:topLinePunct w:val="0"/>
        <w:autoSpaceDE/>
        <w:autoSpaceDN/>
        <w:bidi w:val="0"/>
        <w:adjustRightInd w:val="0"/>
        <w:snapToGrid w:val="0"/>
        <w:spacing w:line="520" w:lineRule="atLeast"/>
        <w:ind w:firstLine="5440" w:firstLineChars="1700"/>
        <w:rPr>
          <w:rFonts w:hint="default" w:ascii="Times New Roman" w:hAnsi="Times New Roman" w:cs="Times New Roman"/>
        </w:rPr>
      </w:pPr>
      <w:r>
        <w:rPr>
          <w:rFonts w:hint="default" w:ascii="Times New Roman" w:hAnsi="Times New Roman" w:cs="Times New Roman"/>
          <w:color w:val="000000"/>
        </w:rPr>
        <w:t xml:space="preserve">                                 </w:t>
      </w:r>
      <w:r>
        <w:rPr>
          <w:rFonts w:hint="default" w:ascii="Times New Roman" w:hAnsi="Times New Roman" w:cs="Times New Roman"/>
        </w:rPr>
        <w:t xml:space="preserve"> </w:t>
      </w:r>
    </w:p>
    <w:p>
      <w:pPr>
        <w:keepNext w:val="0"/>
        <w:keepLines w:val="0"/>
        <w:pageBreakBefore w:val="0"/>
        <w:kinsoku/>
        <w:wordWrap/>
        <w:overflowPunct/>
        <w:topLinePunct w:val="0"/>
        <w:autoSpaceDE/>
        <w:autoSpaceDN/>
        <w:bidi w:val="0"/>
        <w:adjustRightInd w:val="0"/>
        <w:snapToGrid w:val="0"/>
        <w:spacing w:line="520" w:lineRule="atLeast"/>
        <w:rPr>
          <w:rFonts w:hint="default" w:ascii="Times New Roman" w:hAnsi="Times New Roman" w:cs="Times New Roman"/>
        </w:rPr>
      </w:pPr>
    </w:p>
    <w:p/>
    <w:sectPr>
      <w:headerReference r:id="rId5" w:type="first"/>
      <w:footerReference r:id="rId8" w:type="first"/>
      <w:headerReference r:id="rId3" w:type="default"/>
      <w:footerReference r:id="rId6" w:type="default"/>
      <w:headerReference r:id="rId4" w:type="even"/>
      <w:footerReference r:id="rId7" w:type="even"/>
      <w:pgSz w:w="11907" w:h="16840"/>
      <w:pgMar w:top="2098" w:right="1588" w:bottom="1985" w:left="1588" w:header="0" w:footer="1588" w:gutter="0"/>
      <w:pgBorders>
        <w:top w:val="none" w:sz="0" w:space="0"/>
        <w:left w:val="none" w:sz="0" w:space="0"/>
        <w:bottom w:val="none" w:sz="0" w:space="0"/>
        <w:right w:val="none" w:sz="0" w:space="0"/>
      </w:pgBorders>
      <w:cols w:space="720" w:num="1"/>
      <w:titlePg/>
      <w:docGrid w:type="lines" w:linePitch="5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jc w:val="right"/>
      <w:rPr>
        <w:rFonts w:hint="eastAsia" w:ascii="仿宋_GB2312"/>
        <w:sz w:val="28"/>
        <w:szCs w:val="28"/>
      </w:rPr>
    </w:pPr>
    <w:r>
      <w:rPr>
        <w:rFonts w:hint="eastAsia" w:ascii="仿宋_GB2312"/>
        <w:sz w:val="28"/>
        <w:szCs w:val="28"/>
      </w:rPr>
      <w:t xml:space="preserve">— </w:t>
    </w:r>
    <w:r>
      <w:rPr>
        <w:rFonts w:hint="eastAsia" w:ascii="仿宋_GB2312"/>
        <w:sz w:val="28"/>
        <w:szCs w:val="28"/>
      </w:rPr>
      <w:fldChar w:fldCharType="begin"/>
    </w:r>
    <w:r>
      <w:rPr>
        <w:rFonts w:hint="eastAsia" w:ascii="仿宋_GB2312"/>
        <w:sz w:val="28"/>
        <w:szCs w:val="28"/>
      </w:rPr>
      <w:instrText xml:space="preserve"> PAGE </w:instrText>
    </w:r>
    <w:r>
      <w:rPr>
        <w:rFonts w:hint="eastAsia" w:ascii="仿宋_GB2312"/>
        <w:sz w:val="28"/>
        <w:szCs w:val="28"/>
      </w:rPr>
      <w:fldChar w:fldCharType="separate"/>
    </w:r>
    <w:r>
      <w:rPr>
        <w:rFonts w:ascii="仿宋_GB2312"/>
        <w:sz w:val="28"/>
        <w:szCs w:val="28"/>
      </w:rPr>
      <w:t>3</w:t>
    </w:r>
    <w:r>
      <w:rPr>
        <w:rFonts w:hint="eastAsia" w:ascii="仿宋_GB2312"/>
        <w:sz w:val="28"/>
        <w:szCs w:val="28"/>
      </w:rPr>
      <w:fldChar w:fldCharType="end"/>
    </w:r>
    <w:r>
      <w:rPr>
        <w:rFonts w:hint="eastAsia" w:ascii="仿宋_GB2312"/>
        <w:sz w:val="28"/>
        <w:szCs w:val="28"/>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jc w:val="left"/>
      <w:rPr>
        <w:rFonts w:ascii="仿宋_GB2312"/>
        <w:sz w:val="28"/>
        <w:szCs w:val="28"/>
      </w:rPr>
    </w:pPr>
    <w:r>
      <w:rPr>
        <w:rFonts w:hint="eastAsia" w:ascii="仿宋_GB2312"/>
        <w:sz w:val="28"/>
        <w:szCs w:val="28"/>
      </w:rPr>
      <w:t xml:space="preserve">— </w:t>
    </w:r>
    <w:r>
      <w:rPr>
        <w:rFonts w:hint="eastAsia" w:ascii="仿宋_GB2312"/>
        <w:sz w:val="28"/>
        <w:szCs w:val="28"/>
      </w:rPr>
      <w:fldChar w:fldCharType="begin"/>
    </w:r>
    <w:r>
      <w:rPr>
        <w:rFonts w:hint="eastAsia" w:ascii="仿宋_GB2312"/>
        <w:sz w:val="28"/>
        <w:szCs w:val="28"/>
      </w:rPr>
      <w:instrText xml:space="preserve"> PAGE </w:instrText>
    </w:r>
    <w:r>
      <w:rPr>
        <w:rFonts w:hint="eastAsia" w:ascii="仿宋_GB2312"/>
        <w:sz w:val="28"/>
        <w:szCs w:val="28"/>
      </w:rPr>
      <w:fldChar w:fldCharType="separate"/>
    </w:r>
    <w:r>
      <w:rPr>
        <w:rFonts w:ascii="仿宋_GB2312"/>
        <w:sz w:val="28"/>
        <w:szCs w:val="28"/>
      </w:rPr>
      <w:t>2</w:t>
    </w:r>
    <w:r>
      <w:rPr>
        <w:rFonts w:hint="eastAsia" w:ascii="仿宋_GB2312"/>
        <w:sz w:val="28"/>
        <w:szCs w:val="28"/>
      </w:rPr>
      <w:fldChar w:fldCharType="end"/>
    </w:r>
    <w:r>
      <w:rPr>
        <w:rFonts w:hint="eastAsia" w:ascii="仿宋_GB2312"/>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ind w:right="360" w:firstLine="360"/>
      <w:jc w:val="right"/>
      <w:rPr>
        <w:rFonts w:hint="eastAsia" w:ascii="仿宋_GB2312"/>
        <w:sz w:val="28"/>
        <w:szCs w:val="28"/>
      </w:rPr>
    </w:pPr>
    <w:r>
      <w:rPr>
        <w:rFonts w:hint="eastAsia"/>
      </w:rPr>
      <w:t xml:space="preserve">— </w:t>
    </w:r>
    <w:r>
      <w:rPr>
        <w:rFonts w:hint="eastAsia"/>
      </w:rPr>
      <w:fldChar w:fldCharType="begin"/>
    </w:r>
    <w:r>
      <w:rPr>
        <w:rFonts w:hint="eastAsia"/>
      </w:rPr>
      <w:instrText xml:space="preserve"> PAGE </w:instrText>
    </w:r>
    <w:r>
      <w:rPr>
        <w:rFonts w:hint="eastAsia"/>
      </w:rPr>
      <w:fldChar w:fldCharType="separate"/>
    </w:r>
    <w:r>
      <w:t>1</w:t>
    </w:r>
    <w:r>
      <w:rPr>
        <w:rFonts w:hint="eastAsia"/>
      </w:rPr>
      <w:fldChar w:fldCharType="end"/>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9C8E44"/>
    <w:multiLevelType w:val="singleLevel"/>
    <w:tmpl w:val="C29C8E4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D02F66"/>
    <w:rsid w:val="39D02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jc w:val="both"/>
    </w:pPr>
    <w:rPr>
      <w:rFonts w:ascii="Times New Roman" w:hAnsi="Times New Roman" w:eastAsia="仿宋_GB2312" w:cs="Times New Roman"/>
      <w:snapToGrid w:val="0"/>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2021-01-05T05:44:00Z</dcterms:created>
  <dc:creator>acer</dc:creator>
  <cp:lastModifiedBy>acer</cp:lastModifiedBy>
  <dcterms:modified xsi:type="dcterms:W3CDTF">2021-01-05T05:45:35Z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